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eastAsiaTheme="minorEastAsia"/>
          <w:b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color w:val="000000"/>
          <w:sz w:val="32"/>
          <w:szCs w:val="32"/>
          <w:lang w:val="en-US" w:eastAsia="zh-CN"/>
        </w:rPr>
        <w:t>关于江西省科学技术馆（江西省青少年科技中心）高低压柜维保项目的报价函</w:t>
      </w:r>
    </w:p>
    <w:p>
      <w:pPr>
        <w:spacing w:line="360" w:lineRule="auto"/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highlight w:val="none"/>
          <w:lang w:val="en-US" w:eastAsia="zh-CN"/>
        </w:rPr>
        <w:t>江西省科学技术馆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：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我单位拟就“关于江西省科学技术馆（江西省青少年科技中心）高低压柜维保项目”进行报价，按附件中的需求进行报价（含税的报价格式详见附件1、2），报价格式如下：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联系人：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联系电话：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</w:t>
      </w:r>
    </w:p>
    <w:p>
      <w:pPr>
        <w:bidi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3"/>
        <w:numPr>
          <w:ilvl w:val="0"/>
          <w:numId w:val="0"/>
        </w:numP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</w:p>
    <w:p>
      <w:pPr>
        <w:pStyle w:val="3"/>
        <w:numPr>
          <w:ilvl w:val="0"/>
          <w:numId w:val="0"/>
        </w:numP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</w:p>
    <w:p>
      <w:pPr>
        <w:pStyle w:val="3"/>
        <w:numPr>
          <w:ilvl w:val="0"/>
          <w:numId w:val="0"/>
        </w:numPr>
        <w:jc w:val="right"/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highlight w:val="none"/>
          <w:lang w:val="en-US" w:eastAsia="zh-CN"/>
        </w:rPr>
        <w:t>XXXXX</w:t>
      </w:r>
    </w:p>
    <w:p>
      <w:pPr>
        <w:pStyle w:val="3"/>
        <w:numPr>
          <w:ilvl w:val="0"/>
          <w:numId w:val="0"/>
        </w:num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highlight w:val="none"/>
          <w:lang w:val="en-US" w:eastAsia="zh-CN"/>
        </w:rPr>
        <w:t>年 月 日</w:t>
      </w:r>
    </w:p>
    <w:p>
      <w:pPr>
        <w:tabs>
          <w:tab w:val="left" w:pos="3366"/>
        </w:tabs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pStyle w:val="3"/>
        <w:numPr>
          <w:ilvl w:val="0"/>
          <w:numId w:val="0"/>
        </w:numPr>
        <w:rPr>
          <w:rFonts w:hint="eastAsia" w:ascii="宋体" w:hAnsi="宋体" w:cs="宋体"/>
          <w:color w:val="000000"/>
          <w:sz w:val="28"/>
          <w:szCs w:val="28"/>
          <w:highlight w:val="none"/>
        </w:rPr>
      </w:pPr>
    </w:p>
    <w:p>
      <w:pPr>
        <w:pStyle w:val="3"/>
        <w:numPr>
          <w:ilvl w:val="0"/>
          <w:numId w:val="0"/>
        </w:numPr>
        <w:jc w:val="both"/>
        <w:rPr>
          <w:rFonts w:hint="eastAsia" w:ascii="宋体" w:hAnsi="宋体" w:cs="宋体"/>
          <w:color w:val="000000"/>
          <w:sz w:val="28"/>
          <w:szCs w:val="28"/>
          <w:highlight w:val="none"/>
        </w:rPr>
      </w:pPr>
    </w:p>
    <w:p>
      <w:pPr>
        <w:rPr>
          <w:rFonts w:hint="eastAsia"/>
        </w:rPr>
      </w:pPr>
    </w:p>
    <w:p>
      <w:pPr>
        <w:pStyle w:val="3"/>
        <w:numPr>
          <w:ilvl w:val="0"/>
          <w:numId w:val="0"/>
        </w:numPr>
        <w:jc w:val="left"/>
        <w:rPr>
          <w:rFonts w:hint="eastAsia" w:ascii="宋体" w:hAnsi="宋体" w:cs="宋体"/>
          <w:color w:val="000000"/>
          <w:sz w:val="28"/>
          <w:szCs w:val="28"/>
          <w:highlight w:val="none"/>
          <w:lang w:val="en-US" w:eastAsia="zh-CN"/>
        </w:rPr>
      </w:pPr>
    </w:p>
    <w:p>
      <w:pPr>
        <w:pStyle w:val="3"/>
        <w:numPr>
          <w:ilvl w:val="0"/>
          <w:numId w:val="0"/>
        </w:numPr>
        <w:jc w:val="left"/>
        <w:rPr>
          <w:rFonts w:hint="default" w:ascii="宋体" w:hAnsi="宋体" w:cs="宋体" w:eastAsiaTheme="minorEastAsia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color w:val="000000"/>
          <w:sz w:val="28"/>
          <w:szCs w:val="28"/>
          <w:highlight w:val="none"/>
          <w:lang w:val="en-US" w:eastAsia="zh-CN"/>
        </w:rPr>
        <w:t>附件1</w:t>
      </w:r>
    </w:p>
    <w:p>
      <w:pPr>
        <w:pStyle w:val="3"/>
        <w:numPr>
          <w:ilvl w:val="0"/>
          <w:numId w:val="0"/>
        </w:numPr>
        <w:jc w:val="center"/>
        <w:rPr>
          <w:rFonts w:hint="eastAsia" w:ascii="宋体" w:hAnsi="宋体" w:cs="宋体"/>
          <w:color w:val="000000"/>
          <w:sz w:val="28"/>
          <w:szCs w:val="28"/>
          <w:highlight w:val="none"/>
        </w:rPr>
      </w:pPr>
      <w:r>
        <w:rPr>
          <w:rFonts w:hint="eastAsia" w:ascii="宋体" w:hAnsi="宋体" w:cs="宋体"/>
          <w:color w:val="000000"/>
          <w:sz w:val="28"/>
          <w:szCs w:val="28"/>
          <w:highlight w:val="none"/>
        </w:rPr>
        <w:t>报价一览表（格式可自拟）</w:t>
      </w:r>
    </w:p>
    <w:p>
      <w:pPr>
        <w:spacing w:line="360" w:lineRule="auto"/>
        <w:jc w:val="left"/>
        <w:rPr>
          <w:rFonts w:hint="eastAsia" w:ascii="宋体" w:hAnsi="宋体" w:cs="宋体"/>
          <w:color w:val="000000"/>
          <w:sz w:val="24"/>
          <w:szCs w:val="24"/>
          <w:highlight w:val="none"/>
        </w:rPr>
      </w:pPr>
      <w:r>
        <w:rPr>
          <w:rFonts w:hint="eastAsia" w:ascii="宋体" w:hAnsi="宋体" w:cs="宋体"/>
          <w:color w:val="000000"/>
          <w:sz w:val="24"/>
          <w:szCs w:val="24"/>
          <w:highlight w:val="none"/>
        </w:rPr>
        <w:t>供应商名称：</w:t>
      </w:r>
      <w:r>
        <w:rPr>
          <w:rFonts w:hint="eastAsia" w:ascii="宋体" w:hAnsi="宋体" w:cs="宋体"/>
          <w:color w:val="000000"/>
          <w:sz w:val="24"/>
          <w:szCs w:val="24"/>
          <w:highlight w:val="none"/>
          <w:u w:val="single"/>
        </w:rPr>
        <w:t xml:space="preserve">                </w:t>
      </w:r>
      <w:r>
        <w:rPr>
          <w:rFonts w:hint="eastAsia" w:ascii="宋体" w:hAnsi="宋体" w:cs="宋体"/>
          <w:color w:val="000000"/>
          <w:sz w:val="24"/>
          <w:szCs w:val="24"/>
          <w:highlight w:val="none"/>
        </w:rPr>
        <w:t xml:space="preserve"> </w:t>
      </w:r>
    </w:p>
    <w:tbl>
      <w:tblPr>
        <w:tblStyle w:val="6"/>
        <w:tblW w:w="8063" w:type="dxa"/>
        <w:tblInd w:w="-711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4712"/>
        <w:gridCol w:w="258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4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项目名称</w:t>
            </w:r>
          </w:p>
        </w:tc>
        <w:tc>
          <w:tcPr>
            <w:tcW w:w="2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总价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元)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4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eastAsia="zh-CN"/>
              </w:rPr>
              <w:t>关于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江西省科学技术馆（江西省青少年科技中心）高低压柜维保项目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</w:tbl>
    <w:p>
      <w:pPr>
        <w:autoSpaceDE w:val="0"/>
        <w:autoSpaceDN w:val="0"/>
        <w:adjustRightInd w:val="0"/>
        <w:spacing w:line="360" w:lineRule="auto"/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</w:pPr>
    </w:p>
    <w:p>
      <w:pPr>
        <w:autoSpaceDE w:val="0"/>
        <w:autoSpaceDN w:val="0"/>
        <w:adjustRightInd w:val="0"/>
        <w:spacing w:before="312" w:beforeLines="100" w:after="312" w:afterLines="100" w:line="360" w:lineRule="auto"/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u w:val="singl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供应商名称（盖章）：</w:t>
      </w: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u w:val="single"/>
        </w:rPr>
        <w:t xml:space="preserve">                            </w:t>
      </w:r>
    </w:p>
    <w:p>
      <w:pPr>
        <w:rPr>
          <w:rFonts w:hint="eastAsia" w:ascii="宋体" w:hAnsi="宋体" w:cs="宋体"/>
          <w:color w:val="000000"/>
          <w:sz w:val="24"/>
          <w:szCs w:val="24"/>
          <w:highlight w:val="none"/>
          <w:u w:val="single"/>
        </w:rPr>
      </w:pPr>
      <w:r>
        <w:rPr>
          <w:rFonts w:hint="eastAsia" w:ascii="宋体" w:hAnsi="宋体" w:cs="宋体"/>
          <w:color w:val="000000"/>
          <w:sz w:val="24"/>
          <w:szCs w:val="24"/>
          <w:highlight w:val="none"/>
        </w:rPr>
        <w:t>法人或授权代表（签字）：</w:t>
      </w:r>
      <w:r>
        <w:rPr>
          <w:rFonts w:hint="eastAsia" w:ascii="宋体" w:hAnsi="宋体" w:cs="宋体"/>
          <w:color w:val="000000"/>
          <w:sz w:val="24"/>
          <w:szCs w:val="24"/>
          <w:highlight w:val="none"/>
          <w:u w:val="single"/>
        </w:rPr>
        <w:t xml:space="preserve">                         </w:t>
      </w:r>
    </w:p>
    <w:p>
      <w:pPr>
        <w:bidi w:val="0"/>
        <w:jc w:val="left"/>
        <w:rPr>
          <w:rFonts w:hint="eastAsia"/>
          <w:sz w:val="24"/>
          <w:szCs w:val="24"/>
        </w:rPr>
      </w:pPr>
    </w:p>
    <w:p>
      <w:pPr>
        <w:pStyle w:val="3"/>
        <w:numPr>
          <w:ilvl w:val="0"/>
          <w:numId w:val="0"/>
        </w:numPr>
        <w:spacing w:line="360" w:lineRule="auto"/>
        <w:rPr>
          <w:rFonts w:hint="eastAsia" w:ascii="宋体" w:hAnsi="宋体" w:cs="宋体"/>
          <w:color w:val="000000"/>
          <w:sz w:val="28"/>
          <w:szCs w:val="28"/>
          <w:highlight w:val="none"/>
        </w:rPr>
      </w:pPr>
    </w:p>
    <w:p>
      <w:pPr>
        <w:pStyle w:val="3"/>
        <w:numPr>
          <w:ilvl w:val="0"/>
          <w:numId w:val="0"/>
        </w:numPr>
        <w:spacing w:line="360" w:lineRule="auto"/>
        <w:rPr>
          <w:rFonts w:hint="eastAsia" w:ascii="宋体" w:hAnsi="宋体" w:cs="宋体"/>
          <w:color w:val="000000"/>
          <w:sz w:val="28"/>
          <w:szCs w:val="28"/>
          <w:highlight w:val="none"/>
        </w:rPr>
      </w:pPr>
    </w:p>
    <w:p>
      <w:pPr>
        <w:pStyle w:val="3"/>
        <w:numPr>
          <w:ilvl w:val="0"/>
          <w:numId w:val="0"/>
        </w:numPr>
        <w:spacing w:line="360" w:lineRule="auto"/>
        <w:rPr>
          <w:rFonts w:hint="eastAsia" w:ascii="宋体" w:hAnsi="宋体" w:cs="宋体"/>
          <w:color w:val="000000"/>
          <w:sz w:val="28"/>
          <w:szCs w:val="28"/>
          <w:highlight w:val="none"/>
        </w:rPr>
      </w:pPr>
    </w:p>
    <w:p>
      <w:pPr>
        <w:pStyle w:val="3"/>
        <w:numPr>
          <w:ilvl w:val="0"/>
          <w:numId w:val="0"/>
        </w:numPr>
        <w:spacing w:line="360" w:lineRule="auto"/>
        <w:rPr>
          <w:rFonts w:hint="eastAsia" w:ascii="宋体" w:hAnsi="宋体" w:cs="宋体"/>
          <w:color w:val="000000"/>
          <w:sz w:val="28"/>
          <w:szCs w:val="28"/>
          <w:highlight w:val="none"/>
        </w:rPr>
      </w:pPr>
    </w:p>
    <w:p>
      <w:pPr>
        <w:pStyle w:val="3"/>
        <w:numPr>
          <w:ilvl w:val="0"/>
          <w:numId w:val="0"/>
        </w:numPr>
        <w:spacing w:line="360" w:lineRule="auto"/>
        <w:rPr>
          <w:rFonts w:hint="eastAsia" w:ascii="宋体" w:hAnsi="宋体" w:cs="宋体"/>
          <w:color w:val="000000"/>
          <w:sz w:val="28"/>
          <w:szCs w:val="28"/>
          <w:highlight w:val="none"/>
        </w:rPr>
      </w:pPr>
    </w:p>
    <w:p>
      <w:pPr>
        <w:pStyle w:val="3"/>
        <w:numPr>
          <w:ilvl w:val="0"/>
          <w:numId w:val="0"/>
        </w:numPr>
        <w:spacing w:line="360" w:lineRule="auto"/>
        <w:rPr>
          <w:rFonts w:hint="eastAsia" w:ascii="宋体" w:hAnsi="宋体" w:cs="宋体"/>
          <w:color w:val="000000"/>
          <w:sz w:val="28"/>
          <w:szCs w:val="28"/>
          <w:highlight w:val="none"/>
        </w:rPr>
      </w:pPr>
    </w:p>
    <w:p>
      <w:pPr>
        <w:rPr>
          <w:rFonts w:hint="eastAsia" w:ascii="宋体" w:hAnsi="宋体" w:cs="宋体"/>
          <w:color w:val="000000"/>
          <w:sz w:val="28"/>
          <w:szCs w:val="28"/>
          <w:highlight w:val="none"/>
        </w:rPr>
      </w:pPr>
    </w:p>
    <w:p>
      <w:pPr>
        <w:pStyle w:val="3"/>
        <w:numPr>
          <w:ilvl w:val="0"/>
          <w:numId w:val="0"/>
        </w:numPr>
        <w:spacing w:line="360" w:lineRule="auto"/>
        <w:jc w:val="left"/>
        <w:rPr>
          <w:rFonts w:hint="eastAsia" w:ascii="宋体" w:hAnsi="宋体" w:cs="宋体"/>
          <w:color w:val="000000"/>
          <w:sz w:val="24"/>
          <w:szCs w:val="24"/>
          <w:highlight w:val="none"/>
          <w:u w:val="single"/>
        </w:rPr>
      </w:pPr>
      <w:r>
        <w:rPr>
          <w:rFonts w:hint="eastAsia" w:ascii="宋体" w:hAnsi="宋体" w:cs="宋体"/>
          <w:color w:val="000000"/>
          <w:sz w:val="28"/>
          <w:szCs w:val="28"/>
          <w:highlight w:val="none"/>
          <w:lang w:val="en-US" w:eastAsia="zh-CN"/>
        </w:rPr>
        <w:t xml:space="preserve">附件2               </w:t>
      </w:r>
      <w:r>
        <w:rPr>
          <w:rFonts w:hint="eastAsia" w:ascii="宋体" w:hAnsi="宋体" w:cs="宋体"/>
          <w:color w:val="000000"/>
          <w:sz w:val="28"/>
          <w:szCs w:val="28"/>
          <w:highlight w:val="none"/>
        </w:rPr>
        <w:t>分项报价表（格式</w:t>
      </w:r>
      <w:r>
        <w:rPr>
          <w:rFonts w:hint="eastAsia" w:ascii="宋体" w:hAnsi="宋体" w:cs="宋体"/>
          <w:color w:val="000000"/>
          <w:sz w:val="28"/>
          <w:szCs w:val="28"/>
          <w:highlight w:val="none"/>
          <w:lang w:val="en-US" w:eastAsia="zh-CN"/>
        </w:rPr>
        <w:t>可自拟</w:t>
      </w:r>
      <w:r>
        <w:rPr>
          <w:rFonts w:hint="eastAsia" w:ascii="宋体" w:hAnsi="宋体" w:cs="宋体"/>
          <w:color w:val="000000"/>
          <w:sz w:val="28"/>
          <w:szCs w:val="28"/>
          <w:highlight w:val="none"/>
        </w:rPr>
        <w:t>）</w:t>
      </w:r>
      <w:r>
        <w:rPr>
          <w:rFonts w:hint="eastAsia" w:ascii="宋体" w:hAnsi="宋体" w:cs="宋体"/>
          <w:color w:val="000000"/>
          <w:sz w:val="24"/>
          <w:szCs w:val="24"/>
          <w:highlight w:val="none"/>
        </w:rPr>
        <w:t xml:space="preserve">            </w:t>
      </w:r>
    </w:p>
    <w:tbl>
      <w:tblPr>
        <w:tblW w:w="1000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875"/>
        <w:gridCol w:w="1890"/>
        <w:gridCol w:w="1020"/>
        <w:gridCol w:w="915"/>
        <w:gridCol w:w="915"/>
        <w:gridCol w:w="1245"/>
        <w:gridCol w:w="14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工程名称:江西省科学技术馆（江西省青少年科技中心）高低压维保项目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序号   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设备名称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设备编号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设备型号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江西省科学技术馆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高压柜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变压器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SCBH15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电缆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出线至变压器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低压进线柜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MNS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低压联络柜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MNS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低压有源滤波柜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MNS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低压电容柜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MNS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低压出线柜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MNS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28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合计</w:t>
            </w:r>
            <w:r>
              <w:rPr>
                <w:rStyle w:val="12"/>
                <w:bdr w:val="none" w:color="auto" w:sz="0" w:space="0"/>
                <w:lang w:val="en-US" w:eastAsia="zh-CN" w:bidi="ar"/>
              </w:rPr>
              <w:t>: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60 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序号   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设备名称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设备编号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设备型号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江西省青少年科技活动中心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高压柜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变压器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SCB11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电缆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出线至变压器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低压进线柜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MNS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低压联络柜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MNS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低压电容柜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MNS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低压出线柜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MNS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合计</w:t>
            </w:r>
            <w:r>
              <w:rPr>
                <w:rStyle w:val="12"/>
                <w:bdr w:val="none" w:color="auto" w:sz="0" w:space="0"/>
                <w:lang w:val="en-US" w:eastAsia="zh-CN" w:bidi="ar"/>
              </w:rPr>
              <w:t>: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15 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总价大写：</w:t>
            </w:r>
          </w:p>
        </w:tc>
        <w:tc>
          <w:tcPr>
            <w:tcW w:w="74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autoSpaceDE w:val="0"/>
        <w:autoSpaceDN w:val="0"/>
        <w:adjustRightInd w:val="0"/>
        <w:spacing w:before="312" w:beforeLines="100" w:after="312" w:afterLines="100" w:line="360" w:lineRule="auto"/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u w:val="singl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供应商名称（盖章）：</w:t>
      </w: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u w:val="single"/>
        </w:rPr>
        <w:t xml:space="preserve">                            </w:t>
      </w:r>
    </w:p>
    <w:p>
      <w:pPr>
        <w:rPr>
          <w:rFonts w:hint="default" w:ascii="宋体" w:hAnsi="宋体" w:cs="宋体" w:eastAsiaTheme="minorEastAsia"/>
          <w:color w:val="000000"/>
          <w:sz w:val="24"/>
          <w:szCs w:val="24"/>
          <w:highlight w:val="none"/>
          <w:lang w:val="en-US" w:eastAsia="zh-CN"/>
        </w:rPr>
        <w:sectPr>
          <w:headerReference r:id="rId4" w:type="first"/>
          <w:footerReference r:id="rId5" w:type="default"/>
          <w:headerReference r:id="rId3" w:type="even"/>
          <w:footerReference r:id="rId6" w:type="even"/>
          <w:pgSz w:w="11906" w:h="16838"/>
          <w:pgMar w:top="1440" w:right="1440" w:bottom="1440" w:left="1440" w:header="851" w:footer="992" w:gutter="0"/>
          <w:cols w:space="720" w:num="1"/>
          <w:docGrid w:type="linesAndChars" w:linePitch="312" w:charSpace="0"/>
        </w:sectPr>
      </w:pPr>
      <w:r>
        <w:rPr>
          <w:rFonts w:hint="eastAsia" w:ascii="宋体" w:hAnsi="宋体" w:cs="宋体"/>
          <w:color w:val="000000"/>
          <w:sz w:val="24"/>
          <w:szCs w:val="24"/>
          <w:highlight w:val="none"/>
        </w:rPr>
        <w:t>法人或授权代表（签字）：</w:t>
      </w:r>
      <w:r>
        <w:rPr>
          <w:rFonts w:hint="eastAsia" w:ascii="宋体" w:hAnsi="宋体" w:cs="宋体"/>
          <w:color w:val="000000"/>
          <w:sz w:val="24"/>
          <w:szCs w:val="24"/>
          <w:highlight w:val="none"/>
          <w:u w:val="single"/>
        </w:rPr>
        <w:t xml:space="preserve">                      </w:t>
      </w:r>
      <w:r>
        <w:rPr>
          <w:rFonts w:hint="eastAsia" w:ascii="宋体" w:hAnsi="宋体" w:cs="宋体"/>
          <w:color w:val="000000"/>
          <w:sz w:val="24"/>
          <w:szCs w:val="24"/>
          <w:highlight w:val="none"/>
          <w:u w:val="single"/>
          <w:lang w:val="en-US" w:eastAsia="zh-CN"/>
        </w:rPr>
        <w:t xml:space="preserve">   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高低压柜保养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采购需求</w:t>
      </w:r>
      <w:bookmarkStart w:id="0" w:name="_GoBack"/>
      <w:bookmarkEnd w:id="0"/>
    </w:p>
    <w:p>
      <w:pPr>
        <w:rPr>
          <w:rFonts w:hint="eastAsia" w:ascii="宋体" w:hAnsi="宋体" w:cs="宋体"/>
          <w:b/>
          <w:szCs w:val="21"/>
        </w:rPr>
      </w:pPr>
    </w:p>
    <w:p>
      <w:pPr>
        <w:ind w:firstLine="520" w:firstLineChars="200"/>
        <w:rPr>
          <w:rFonts w:hint="eastAsia" w:asciiTheme="minorEastAsia" w:hAnsiTheme="minorEastAsia" w:eastAsiaTheme="minorEastAsia" w:cstheme="minorEastAsia"/>
          <w:b w:val="0"/>
          <w:bCs/>
          <w:sz w:val="26"/>
          <w:szCs w:val="26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6"/>
          <w:szCs w:val="26"/>
        </w:rPr>
        <w:t>包括必要的清扫维护和检查调整。高低压开关柜</w:t>
      </w:r>
      <w:r>
        <w:rPr>
          <w:rFonts w:hint="eastAsia" w:asciiTheme="minorEastAsia" w:hAnsiTheme="minorEastAsia" w:cstheme="minorEastAsia"/>
          <w:b w:val="0"/>
          <w:bCs/>
          <w:sz w:val="26"/>
          <w:szCs w:val="26"/>
          <w:lang w:eastAsia="zh-CN"/>
        </w:rPr>
        <w:t>和变压器</w:t>
      </w:r>
      <w:r>
        <w:rPr>
          <w:rFonts w:hint="eastAsia" w:asciiTheme="minorEastAsia" w:hAnsiTheme="minorEastAsia" w:eastAsiaTheme="minorEastAsia" w:cstheme="minorEastAsia"/>
          <w:b w:val="0"/>
          <w:bCs/>
          <w:sz w:val="26"/>
          <w:szCs w:val="26"/>
        </w:rPr>
        <w:t>的保养，包括柜内真空断路器的检查 维护，开关柜内一次设备预防性试验、微机保护器的更换、母线停电保养，计划保养每年一次。 高低压开关柜的保养周期及保养前、后的试验项目和标准按《</w:t>
      </w:r>
      <w:r>
        <w:rPr>
          <w:rFonts w:hint="eastAsia" w:asciiTheme="minorEastAsia" w:hAnsiTheme="minorEastAsia" w:eastAsiaTheme="minorEastAsia" w:cstheme="minorEastAsia"/>
          <w:b w:val="0"/>
          <w:bCs/>
          <w:sz w:val="26"/>
          <w:szCs w:val="26"/>
          <w:lang w:eastAsia="zh-CN"/>
        </w:rPr>
        <w:t>机电</w:t>
      </w:r>
      <w:r>
        <w:rPr>
          <w:rFonts w:hint="eastAsia" w:asciiTheme="minorEastAsia" w:hAnsiTheme="minorEastAsia" w:eastAsiaTheme="minorEastAsia" w:cstheme="minorEastAsia"/>
          <w:b w:val="0"/>
          <w:bCs/>
          <w:sz w:val="26"/>
          <w:szCs w:val="26"/>
        </w:rPr>
        <w:t>工程质量检验评定标准第二册机电工程》（JTG 2182-2020）、</w:t>
      </w:r>
      <w:r>
        <w:rPr>
          <w:rFonts w:hint="eastAsia" w:asciiTheme="minorEastAsia" w:hAnsiTheme="minorEastAsia" w:eastAsiaTheme="minorEastAsia" w:cstheme="minorEastAsia"/>
          <w:b w:val="0"/>
          <w:bCs/>
          <w:sz w:val="26"/>
          <w:szCs w:val="26"/>
          <w:lang w:eastAsia="zh-CN"/>
        </w:rPr>
        <w:t>及电力行业</w:t>
      </w:r>
      <w:r>
        <w:rPr>
          <w:rFonts w:hint="eastAsia" w:asciiTheme="minorEastAsia" w:hAnsiTheme="minorEastAsia" w:eastAsiaTheme="minorEastAsia" w:cstheme="minorEastAsia"/>
          <w:b w:val="0"/>
          <w:bCs/>
          <w:sz w:val="26"/>
          <w:szCs w:val="26"/>
        </w:rPr>
        <w:t>相关技术</w:t>
      </w:r>
      <w:r>
        <w:rPr>
          <w:rFonts w:hint="eastAsia" w:asciiTheme="minorEastAsia" w:hAnsiTheme="minorEastAsia" w:eastAsiaTheme="minorEastAsia" w:cstheme="minorEastAsia"/>
          <w:b w:val="0"/>
          <w:bCs/>
          <w:sz w:val="26"/>
          <w:szCs w:val="26"/>
          <w:lang w:eastAsia="zh-CN"/>
        </w:rPr>
        <w:t>标准、规范</w:t>
      </w:r>
      <w:r>
        <w:rPr>
          <w:rFonts w:hint="eastAsia" w:asciiTheme="minorEastAsia" w:hAnsiTheme="minorEastAsia" w:eastAsiaTheme="minorEastAsia" w:cstheme="minorEastAsia"/>
          <w:b w:val="0"/>
          <w:bCs/>
          <w:sz w:val="26"/>
          <w:szCs w:val="26"/>
        </w:rPr>
        <w:t>要求执行。</w:t>
      </w:r>
    </w:p>
    <w:p>
      <w:pPr>
        <w:rPr>
          <w:rFonts w:ascii="宋体" w:hAnsi="宋体" w:cs="宋体"/>
          <w:b/>
          <w:sz w:val="26"/>
          <w:szCs w:val="26"/>
        </w:rPr>
      </w:pPr>
      <w:r>
        <w:rPr>
          <w:rFonts w:hint="eastAsia" w:ascii="宋体" w:hAnsi="宋体" w:cs="宋体"/>
          <w:b/>
          <w:sz w:val="26"/>
          <w:szCs w:val="26"/>
        </w:rPr>
        <w:t>高低压柜日常维护项目和要求</w:t>
      </w:r>
    </w:p>
    <w:p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900"/>
        </w:tabs>
        <w:adjustRightInd w:val="0"/>
        <w:spacing w:line="360" w:lineRule="auto"/>
        <w:ind w:left="425" w:leftChars="0" w:hanging="425" w:firstLineChars="0"/>
        <w:rPr>
          <w:rFonts w:ascii="宋体" w:hAnsi="宋体" w:cs="宋体"/>
          <w:sz w:val="26"/>
          <w:szCs w:val="26"/>
        </w:rPr>
      </w:pPr>
      <w:r>
        <w:rPr>
          <w:rFonts w:hint="eastAsia" w:ascii="宋体" w:hAnsi="宋体" w:cs="宋体"/>
          <w:sz w:val="26"/>
          <w:szCs w:val="26"/>
        </w:rPr>
        <w:t>检查、清扫开关柜，柜体清洁无灰尘，柜面观察窗清洁透明。</w:t>
      </w:r>
    </w:p>
    <w:p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900"/>
        </w:tabs>
        <w:adjustRightInd w:val="0"/>
        <w:spacing w:line="360" w:lineRule="auto"/>
        <w:ind w:left="425" w:leftChars="0" w:hanging="425" w:firstLineChars="0"/>
        <w:rPr>
          <w:rFonts w:ascii="宋体" w:hAnsi="宋体" w:cs="宋体"/>
          <w:sz w:val="26"/>
          <w:szCs w:val="26"/>
        </w:rPr>
      </w:pPr>
      <w:r>
        <w:rPr>
          <w:rFonts w:hint="eastAsia" w:ascii="宋体" w:hAnsi="宋体" w:cs="宋体"/>
          <w:sz w:val="26"/>
          <w:szCs w:val="26"/>
        </w:rPr>
        <w:t>柜面元件安装端正，接线牢固，电度表、高压带电指示装置、继电器及信号灯工作正常，符合相关规定。检查开关位置指示信号灯指示正确。</w:t>
      </w:r>
    </w:p>
    <w:p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900"/>
        </w:tabs>
        <w:adjustRightInd w:val="0"/>
        <w:spacing w:line="360" w:lineRule="auto"/>
        <w:ind w:left="425" w:leftChars="0" w:hanging="425" w:firstLineChars="0"/>
        <w:rPr>
          <w:rFonts w:ascii="宋体" w:hAnsi="宋体" w:cs="宋体"/>
          <w:sz w:val="26"/>
          <w:szCs w:val="26"/>
        </w:rPr>
      </w:pPr>
      <w:r>
        <w:rPr>
          <w:rFonts w:hint="eastAsia" w:ascii="宋体" w:hAnsi="宋体" w:cs="宋体"/>
          <w:sz w:val="26"/>
          <w:szCs w:val="26"/>
        </w:rPr>
        <w:t>检查开关柜密封良好，门锁齐全，机械和电气带电闭锁装置作用可靠，在有电情况下不能打开柜门。手车位置检测行程开关作用良好，能正确反映手车位置。开关机械位置闭锁装置作用良好。检查二次回路连接牢固，接线正确。</w:t>
      </w:r>
    </w:p>
    <w:p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900"/>
        </w:tabs>
        <w:adjustRightInd w:val="0"/>
        <w:spacing w:line="360" w:lineRule="auto"/>
        <w:ind w:left="425" w:leftChars="0" w:hanging="425" w:firstLineChars="0"/>
        <w:rPr>
          <w:rFonts w:ascii="宋体" w:hAnsi="宋体" w:cs="宋体"/>
          <w:sz w:val="26"/>
          <w:szCs w:val="26"/>
        </w:rPr>
      </w:pPr>
      <w:r>
        <w:rPr>
          <w:rFonts w:hint="eastAsia" w:ascii="宋体" w:hAnsi="宋体" w:cs="宋体"/>
          <w:sz w:val="26"/>
          <w:szCs w:val="26"/>
        </w:rPr>
        <w:t>拉出手车，检查开关柜后部带电防护档板作用良好，开关手车拉出后能自动复位。</w:t>
      </w:r>
    </w:p>
    <w:p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900"/>
        </w:tabs>
        <w:adjustRightInd w:val="0"/>
        <w:spacing w:line="360" w:lineRule="auto"/>
        <w:ind w:left="425" w:leftChars="0" w:hanging="425" w:firstLineChars="0"/>
        <w:rPr>
          <w:rFonts w:ascii="宋体" w:hAnsi="宋体" w:cs="宋体"/>
          <w:sz w:val="26"/>
          <w:szCs w:val="26"/>
        </w:rPr>
      </w:pPr>
      <w:r>
        <w:rPr>
          <w:rFonts w:hint="eastAsia" w:ascii="宋体" w:hAnsi="宋体" w:cs="宋体"/>
          <w:sz w:val="26"/>
          <w:szCs w:val="26"/>
        </w:rPr>
        <w:t>检查柜体接地良好，手车接地轨道接触良好，表面无锈蚀现象，并涂干黄油。手车推拉应轻松灵活，到位后能自动闭锁定位，无卡滞现象。</w:t>
      </w:r>
    </w:p>
    <w:p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900"/>
        </w:tabs>
        <w:adjustRightInd w:val="0"/>
        <w:spacing w:line="360" w:lineRule="auto"/>
        <w:ind w:left="425" w:leftChars="0" w:hanging="425" w:firstLineChars="0"/>
        <w:rPr>
          <w:rFonts w:hint="eastAsia" w:ascii="宋体" w:hAnsi="宋体" w:cs="宋体"/>
          <w:sz w:val="26"/>
          <w:szCs w:val="26"/>
        </w:rPr>
      </w:pPr>
      <w:r>
        <w:rPr>
          <w:rFonts w:hint="eastAsia" w:ascii="宋体" w:hAnsi="宋体" w:cs="宋体"/>
          <w:sz w:val="26"/>
          <w:szCs w:val="26"/>
        </w:rPr>
        <w:t>电流互感器及过电压吸收装置。擦拭互感器及过电压吸收装置表面，检查一次接线紧固情况。检查互感器二次端子和铁芯接地良好。</w:t>
      </w:r>
    </w:p>
    <w:p>
      <w:pPr>
        <w:numPr>
          <w:ilvl w:val="0"/>
          <w:numId w:val="2"/>
        </w:numPr>
        <w:spacing w:line="360" w:lineRule="auto"/>
        <w:ind w:left="425" w:leftChars="0" w:hanging="425" w:firstLineChars="0"/>
        <w:rPr>
          <w:rFonts w:hint="eastAsia" w:ascii="宋体" w:hAnsi="宋体" w:cs="宋体"/>
          <w:sz w:val="26"/>
          <w:szCs w:val="26"/>
          <w:lang w:val="en-US" w:eastAsia="zh-CN"/>
        </w:rPr>
      </w:pPr>
      <w:r>
        <w:rPr>
          <w:rFonts w:hint="eastAsia" w:ascii="宋体" w:hAnsi="宋体" w:cs="宋体"/>
          <w:sz w:val="26"/>
          <w:szCs w:val="26"/>
          <w:lang w:val="en-US" w:eastAsia="zh-CN"/>
        </w:rPr>
        <w:t>电流互感器、电压互感器、绝缘套件、防雷器等柜内关键元器件凝露受潮检修、清洁、保养（须采取措施保持配电设备、元器件绝缘在规定范围值）；</w:t>
      </w:r>
    </w:p>
    <w:p>
      <w:pPr>
        <w:numPr>
          <w:ilvl w:val="0"/>
          <w:numId w:val="2"/>
        </w:numPr>
        <w:spacing w:line="360" w:lineRule="auto"/>
        <w:ind w:left="425" w:leftChars="0" w:hanging="425" w:firstLineChars="0"/>
        <w:rPr>
          <w:rFonts w:hint="eastAsia" w:ascii="宋体" w:hAnsi="宋体" w:cs="宋体"/>
          <w:sz w:val="26"/>
          <w:szCs w:val="26"/>
          <w:lang w:val="en-US" w:eastAsia="zh-CN"/>
        </w:rPr>
      </w:pPr>
      <w:r>
        <w:rPr>
          <w:rFonts w:hint="eastAsia" w:ascii="宋体" w:hAnsi="宋体" w:cs="宋体"/>
          <w:sz w:val="26"/>
          <w:szCs w:val="26"/>
          <w:lang w:eastAsia="zh-CN"/>
        </w:rPr>
        <w:t>配电柜二次线及继电器、交流接触器故障检修；</w:t>
      </w:r>
    </w:p>
    <w:p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900"/>
        </w:tabs>
        <w:adjustRightInd w:val="0"/>
        <w:spacing w:line="360" w:lineRule="auto"/>
        <w:ind w:left="425" w:leftChars="0" w:hanging="425" w:firstLineChars="0"/>
        <w:rPr>
          <w:rFonts w:hint="eastAsia" w:ascii="宋体" w:hAnsi="宋体" w:cs="宋体"/>
          <w:sz w:val="26"/>
          <w:szCs w:val="26"/>
        </w:rPr>
      </w:pPr>
      <w:r>
        <w:rPr>
          <w:rFonts w:hint="eastAsia" w:ascii="宋体" w:hAnsi="宋体" w:cs="宋体"/>
          <w:sz w:val="26"/>
          <w:szCs w:val="26"/>
          <w:lang w:val="en-US" w:eastAsia="zh-CN"/>
        </w:rPr>
        <w:t>配电柜进出线孔、面板防潮胶条密封处理。</w:t>
      </w:r>
    </w:p>
    <w:p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900"/>
        </w:tabs>
        <w:adjustRightInd w:val="0"/>
        <w:spacing w:line="360" w:lineRule="auto"/>
        <w:ind w:left="425" w:leftChars="0" w:hanging="425" w:firstLineChars="0"/>
        <w:rPr>
          <w:rFonts w:hint="eastAsia" w:ascii="宋体" w:hAnsi="宋体" w:cs="宋体" w:eastAsiaTheme="minorEastAsia"/>
          <w:sz w:val="26"/>
          <w:szCs w:val="26"/>
          <w:lang w:eastAsia="zh-CN"/>
        </w:rPr>
      </w:pPr>
      <w:r>
        <w:rPr>
          <w:rFonts w:hint="eastAsia" w:ascii="宋体" w:hAnsi="宋体" w:cs="宋体"/>
          <w:sz w:val="26"/>
          <w:szCs w:val="26"/>
          <w:lang w:eastAsia="zh-CN"/>
        </w:rPr>
        <w:t>将巡检保养发现的问题清单，统一汇总至甲方；</w:t>
      </w:r>
    </w:p>
    <w:p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900"/>
        </w:tabs>
        <w:adjustRightInd w:val="0"/>
        <w:spacing w:line="360" w:lineRule="auto"/>
        <w:ind w:left="425" w:leftChars="0" w:hanging="425" w:firstLineChars="0"/>
        <w:rPr>
          <w:rFonts w:ascii="宋体" w:hAnsi="宋体" w:cs="宋体"/>
          <w:sz w:val="26"/>
          <w:szCs w:val="26"/>
        </w:rPr>
      </w:pPr>
      <w:r>
        <w:rPr>
          <w:rFonts w:hint="eastAsia" w:ascii="宋体" w:hAnsi="宋体" w:cs="宋体"/>
          <w:sz w:val="26"/>
          <w:szCs w:val="26"/>
        </w:rPr>
        <w:t>详细做好保养试运行记录。</w:t>
      </w:r>
    </w:p>
    <w:p>
      <w:pPr>
        <w:tabs>
          <w:tab w:val="left" w:pos="360"/>
          <w:tab w:val="left" w:pos="540"/>
          <w:tab w:val="left" w:pos="720"/>
          <w:tab w:val="left" w:pos="900"/>
        </w:tabs>
        <w:adjustRightInd w:val="0"/>
        <w:spacing w:line="360" w:lineRule="auto"/>
        <w:ind w:left="403" w:leftChars="192"/>
        <w:jc w:val="center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保养工艺及质量标准</w:t>
      </w:r>
    </w:p>
    <w:tbl>
      <w:tblPr>
        <w:tblStyle w:val="6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1507"/>
        <w:gridCol w:w="3693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86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序号</w:t>
            </w:r>
          </w:p>
        </w:tc>
        <w:tc>
          <w:tcPr>
            <w:tcW w:w="150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保养项目</w:t>
            </w:r>
          </w:p>
        </w:tc>
        <w:tc>
          <w:tcPr>
            <w:tcW w:w="369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工艺要点及注意事项</w:t>
            </w:r>
          </w:p>
        </w:tc>
        <w:tc>
          <w:tcPr>
            <w:tcW w:w="31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质量标准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6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507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开关柜体保养</w:t>
            </w:r>
          </w:p>
        </w:tc>
        <w:tc>
          <w:tcPr>
            <w:tcW w:w="3693" w:type="dxa"/>
            <w:vAlign w:val="center"/>
          </w:tcPr>
          <w:p>
            <w:pPr>
              <w:numPr>
                <w:ilvl w:val="0"/>
                <w:numId w:val="3"/>
              </w:numPr>
              <w:spacing w:line="360" w:lineRule="auto"/>
              <w:ind w:left="425" w:leftChars="0" w:hanging="425" w:firstLineChars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断路器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，隔离开关，互锁灵敏，操作顺畅。</w:t>
            </w:r>
          </w:p>
          <w:p>
            <w:pPr>
              <w:numPr>
                <w:ilvl w:val="0"/>
                <w:numId w:val="3"/>
              </w:numPr>
              <w:spacing w:line="360" w:lineRule="auto"/>
              <w:ind w:left="425" w:leftChars="0" w:hanging="425" w:firstLineChars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接地闸刀及闭锁机构检查；</w:t>
            </w:r>
          </w:p>
          <w:p>
            <w:pPr>
              <w:numPr>
                <w:ilvl w:val="0"/>
                <w:numId w:val="3"/>
              </w:numPr>
              <w:spacing w:line="360" w:lineRule="auto"/>
              <w:ind w:left="425" w:leftChars="0" w:hanging="425" w:firstLineChars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柜内加热器检查；</w:t>
            </w:r>
          </w:p>
          <w:p>
            <w:pPr>
              <w:numPr>
                <w:ilvl w:val="0"/>
                <w:numId w:val="3"/>
              </w:numPr>
              <w:spacing w:line="360" w:lineRule="auto"/>
              <w:ind w:left="425" w:leftChars="0" w:hanging="425" w:firstLineChars="0"/>
              <w:jc w:val="left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开关位置接点通断情况检查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；</w:t>
            </w:r>
          </w:p>
          <w:p>
            <w:pPr>
              <w:numPr>
                <w:ilvl w:val="0"/>
                <w:numId w:val="3"/>
              </w:numPr>
              <w:spacing w:line="360" w:lineRule="auto"/>
              <w:ind w:left="425" w:leftChars="0" w:hanging="425" w:firstLineChars="0"/>
              <w:jc w:val="left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电流互感器、电压互感器、绝缘套件、防雷器等柜内关键元器件凝露受潮检修、清洁、保养（须采取措施保持配电设备、元器件绝缘在规定范围值）；</w:t>
            </w:r>
          </w:p>
          <w:p>
            <w:pPr>
              <w:numPr>
                <w:ilvl w:val="0"/>
                <w:numId w:val="3"/>
              </w:numPr>
              <w:spacing w:line="360" w:lineRule="auto"/>
              <w:ind w:left="425" w:leftChars="0" w:hanging="425" w:firstLineChars="0"/>
              <w:jc w:val="left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配电柜进出线孔、面板防潮胶条密封处理。</w:t>
            </w:r>
          </w:p>
        </w:tc>
        <w:tc>
          <w:tcPr>
            <w:tcW w:w="3118" w:type="dxa"/>
            <w:vAlign w:val="center"/>
          </w:tcPr>
          <w:p>
            <w:pPr>
              <w:numPr>
                <w:ilvl w:val="0"/>
                <w:numId w:val="4"/>
              </w:numPr>
              <w:spacing w:line="360" w:lineRule="auto"/>
              <w:ind w:left="425" w:leftChars="0" w:hanging="425" w:firstLineChars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开关柜内无异物，位置正确。轴销齐全、连杆无变形现象；</w:t>
            </w:r>
          </w:p>
          <w:p>
            <w:pPr>
              <w:numPr>
                <w:ilvl w:val="0"/>
                <w:numId w:val="4"/>
              </w:numPr>
              <w:spacing w:line="360" w:lineRule="auto"/>
              <w:ind w:left="425" w:leftChars="0" w:hanging="425" w:firstLineChars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各电气连接部分可靠、无过热变色变形等现象。各闭锁装置正常并涂抹凡士林；</w:t>
            </w:r>
          </w:p>
          <w:p>
            <w:pPr>
              <w:numPr>
                <w:ilvl w:val="0"/>
                <w:numId w:val="4"/>
              </w:numPr>
              <w:spacing w:line="360" w:lineRule="auto"/>
              <w:ind w:left="425" w:leftChars="0" w:hanging="425" w:firstLineChars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接线紧固无松动，端子编号齐全，加热器完好；</w:t>
            </w:r>
          </w:p>
          <w:p>
            <w:pPr>
              <w:numPr>
                <w:ilvl w:val="0"/>
                <w:numId w:val="4"/>
              </w:numPr>
              <w:spacing w:line="360" w:lineRule="auto"/>
              <w:ind w:left="425" w:leftChars="0" w:hanging="425" w:firstLineChars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外壳完整无碎裂，接点动作灵活可靠，接线紧固无松动。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6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1507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断路器、隔离刀闸等配电开关</w:t>
            </w:r>
            <w:r>
              <w:rPr>
                <w:rFonts w:hint="eastAsia" w:ascii="宋体" w:hAnsi="宋体" w:cs="宋体"/>
                <w:szCs w:val="21"/>
              </w:rPr>
              <w:t>保养</w:t>
            </w:r>
          </w:p>
        </w:tc>
        <w:tc>
          <w:tcPr>
            <w:tcW w:w="3693" w:type="dxa"/>
            <w:vAlign w:val="center"/>
          </w:tcPr>
          <w:p>
            <w:pPr>
              <w:numPr>
                <w:ilvl w:val="0"/>
                <w:numId w:val="5"/>
              </w:numPr>
              <w:spacing w:line="360" w:lineRule="auto"/>
              <w:ind w:left="425" w:leftChars="0" w:hanging="425" w:firstLineChars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遮断器外观检查；</w:t>
            </w:r>
          </w:p>
          <w:p>
            <w:pPr>
              <w:numPr>
                <w:ilvl w:val="0"/>
                <w:numId w:val="5"/>
              </w:numPr>
              <w:spacing w:line="360" w:lineRule="auto"/>
              <w:ind w:left="425" w:leftChars="0" w:hanging="425" w:firstLineChars="0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真空遮断器绝缘子检查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；</w:t>
            </w:r>
          </w:p>
          <w:p>
            <w:pPr>
              <w:numPr>
                <w:ilvl w:val="0"/>
                <w:numId w:val="5"/>
              </w:numPr>
              <w:spacing w:line="360" w:lineRule="auto"/>
              <w:ind w:left="425" w:leftChars="0" w:hanging="425" w:firstLineChars="0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断路器及其开关凝露受潮清洁、保养，以及黄油保养（须采取措施保持配电设备、元器件绝缘在规定范围值）。</w:t>
            </w:r>
          </w:p>
        </w:tc>
        <w:tc>
          <w:tcPr>
            <w:tcW w:w="3118" w:type="dxa"/>
            <w:vAlign w:val="center"/>
          </w:tcPr>
          <w:p>
            <w:pPr>
              <w:numPr>
                <w:ilvl w:val="0"/>
                <w:numId w:val="6"/>
              </w:numPr>
              <w:spacing w:line="360" w:lineRule="auto"/>
              <w:ind w:left="425" w:leftChars="0" w:hanging="425" w:firstLineChars="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外表完好无裂纹，固定螺丝紧固无松动；</w:t>
            </w:r>
          </w:p>
          <w:p>
            <w:pPr>
              <w:numPr>
                <w:ilvl w:val="0"/>
                <w:numId w:val="6"/>
              </w:numPr>
              <w:spacing w:line="360" w:lineRule="auto"/>
              <w:ind w:left="425" w:leftChars="0" w:hanging="425" w:firstLineChars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表面应清洁完好，无碎裂、无灰尘、无污垢及变色现象。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6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1507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辅助设备保养</w:t>
            </w:r>
          </w:p>
        </w:tc>
        <w:tc>
          <w:tcPr>
            <w:tcW w:w="3693" w:type="dxa"/>
            <w:vAlign w:val="center"/>
          </w:tcPr>
          <w:p>
            <w:pPr>
              <w:numPr>
                <w:ilvl w:val="0"/>
                <w:numId w:val="7"/>
              </w:numPr>
              <w:spacing w:line="360" w:lineRule="auto"/>
              <w:ind w:left="425" w:leftChars="0" w:hanging="425" w:firstLineChars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打开电缆仓盖板，清扫检查电缆仓；</w:t>
            </w:r>
          </w:p>
          <w:p>
            <w:pPr>
              <w:numPr>
                <w:ilvl w:val="0"/>
                <w:numId w:val="7"/>
              </w:numPr>
              <w:spacing w:line="360" w:lineRule="auto"/>
              <w:ind w:left="425" w:leftChars="0" w:hanging="425" w:firstLineChars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CT、PT、支撑瓷瓶检查；</w:t>
            </w:r>
          </w:p>
          <w:p>
            <w:pPr>
              <w:numPr>
                <w:ilvl w:val="0"/>
                <w:numId w:val="7"/>
              </w:numPr>
              <w:spacing w:line="360" w:lineRule="auto"/>
              <w:ind w:left="425" w:leftChars="0" w:hanging="425" w:firstLineChars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动力电缆头检查；</w:t>
            </w:r>
          </w:p>
          <w:p>
            <w:pPr>
              <w:numPr>
                <w:ilvl w:val="0"/>
                <w:numId w:val="7"/>
              </w:numPr>
              <w:spacing w:line="360" w:lineRule="auto"/>
              <w:ind w:left="425" w:leftChars="0" w:hanging="425" w:firstLineChars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接地装置检查；</w:t>
            </w:r>
          </w:p>
          <w:p>
            <w:pPr>
              <w:numPr>
                <w:ilvl w:val="0"/>
                <w:numId w:val="7"/>
              </w:numPr>
              <w:spacing w:line="360" w:lineRule="auto"/>
              <w:ind w:left="425" w:leftChars="0" w:hanging="425" w:firstLineChars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三相过电压吸收器检查；</w:t>
            </w:r>
          </w:p>
          <w:p>
            <w:pPr>
              <w:numPr>
                <w:ilvl w:val="0"/>
                <w:numId w:val="7"/>
              </w:numPr>
              <w:spacing w:line="360" w:lineRule="auto"/>
              <w:ind w:left="425" w:leftChars="0" w:hanging="425" w:firstLineChars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母线、各绝缘子、母线连接处各绝缘外套及接头等检查。</w:t>
            </w:r>
          </w:p>
        </w:tc>
        <w:tc>
          <w:tcPr>
            <w:tcW w:w="3118" w:type="dxa"/>
            <w:vAlign w:val="center"/>
          </w:tcPr>
          <w:p>
            <w:pPr>
              <w:numPr>
                <w:ilvl w:val="0"/>
                <w:numId w:val="8"/>
              </w:numPr>
              <w:spacing w:line="360" w:lineRule="auto"/>
              <w:ind w:left="425" w:leftChars="0" w:hanging="425" w:firstLineChars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部清洁无灰尘；</w:t>
            </w:r>
          </w:p>
          <w:p>
            <w:pPr>
              <w:numPr>
                <w:ilvl w:val="0"/>
                <w:numId w:val="8"/>
              </w:numPr>
              <w:spacing w:line="360" w:lineRule="auto"/>
              <w:ind w:left="425" w:leftChars="0" w:hanging="425" w:firstLineChars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孔洞封堵完好</w:t>
            </w:r>
          </w:p>
          <w:p>
            <w:pPr>
              <w:numPr>
                <w:ilvl w:val="0"/>
                <w:numId w:val="8"/>
              </w:numPr>
              <w:spacing w:line="360" w:lineRule="auto"/>
              <w:ind w:left="425" w:leftChars="0" w:hanging="425" w:firstLineChars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CT、PT、支撑瓷瓶外表绝缘完好，无积灰、开裂、劣化现象；</w:t>
            </w:r>
          </w:p>
          <w:p>
            <w:pPr>
              <w:numPr>
                <w:ilvl w:val="0"/>
                <w:numId w:val="8"/>
              </w:numPr>
              <w:spacing w:line="360" w:lineRule="auto"/>
              <w:ind w:left="425" w:leftChars="0" w:hanging="425" w:firstLineChars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电缆头主绝缘完好，相位标记清晰，相序对应一致；</w:t>
            </w:r>
          </w:p>
          <w:p>
            <w:pPr>
              <w:numPr>
                <w:ilvl w:val="0"/>
                <w:numId w:val="8"/>
              </w:numPr>
              <w:spacing w:line="360" w:lineRule="auto"/>
              <w:ind w:left="425" w:leftChars="0" w:hanging="425" w:firstLineChars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操作良好，接地可靠，活动件的轴销、卡簧齐全不缺；</w:t>
            </w:r>
          </w:p>
          <w:p>
            <w:pPr>
              <w:numPr>
                <w:ilvl w:val="0"/>
                <w:numId w:val="8"/>
              </w:numPr>
              <w:spacing w:line="360" w:lineRule="auto"/>
              <w:ind w:left="425" w:leftChars="0" w:hanging="425" w:firstLineChars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吸收器完好，安装牢固；</w:t>
            </w:r>
          </w:p>
          <w:p>
            <w:pPr>
              <w:numPr>
                <w:ilvl w:val="0"/>
                <w:numId w:val="8"/>
              </w:numPr>
              <w:spacing w:line="360" w:lineRule="auto"/>
              <w:ind w:left="425" w:leftChars="0" w:hanging="425" w:firstLineChars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母线无放电痕迹现象。接头牢固无过热、变色等现象。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1" w:hRule="atLeast"/>
        </w:trPr>
        <w:tc>
          <w:tcPr>
            <w:tcW w:w="86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1507" w:type="dxa"/>
            <w:vAlign w:val="center"/>
          </w:tcPr>
          <w:p>
            <w:pPr>
              <w:spacing w:line="360" w:lineRule="auto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耐压</w:t>
            </w:r>
          </w:p>
        </w:tc>
        <w:tc>
          <w:tcPr>
            <w:tcW w:w="3693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(1)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用</w:t>
            </w:r>
            <w:r>
              <w:rPr>
                <w:rFonts w:hint="eastAsia" w:ascii="宋体" w:hAnsi="宋体" w:cs="宋体"/>
                <w:szCs w:val="21"/>
              </w:rPr>
              <w:t>2500V摇表测量主回路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相间及</w:t>
            </w:r>
            <w:r>
              <w:rPr>
                <w:rFonts w:hint="eastAsia" w:ascii="宋体" w:hAnsi="宋体" w:cs="宋体"/>
                <w:szCs w:val="21"/>
              </w:rPr>
              <w:t>对地绝缘；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/>
              <w:rPr>
                <w:rFonts w:hint="default" w:ascii="宋体" w:hAnsi="宋体" w:cs="宋体"/>
                <w:szCs w:val="21"/>
                <w:lang w:val="en-US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(2)用耐压仪测量</w:t>
            </w:r>
            <w:r>
              <w:rPr>
                <w:rFonts w:hint="eastAsia" w:ascii="宋体" w:hAnsi="宋体" w:cs="宋体"/>
                <w:szCs w:val="21"/>
              </w:rPr>
              <w:t>主回路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相间及</w:t>
            </w:r>
            <w:r>
              <w:rPr>
                <w:rFonts w:hint="eastAsia" w:ascii="宋体" w:hAnsi="宋体" w:cs="宋体"/>
                <w:szCs w:val="21"/>
              </w:rPr>
              <w:t>对地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耐压</w:t>
            </w:r>
            <w:r>
              <w:rPr>
                <w:rFonts w:hint="eastAsia" w:ascii="宋体" w:hAnsi="宋体" w:cs="宋体"/>
                <w:szCs w:val="21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(3)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用接地电阻测试仪测量接地。</w:t>
            </w:r>
          </w:p>
        </w:tc>
        <w:tc>
          <w:tcPr>
            <w:tcW w:w="3118" w:type="dxa"/>
            <w:vAlign w:val="center"/>
          </w:tcPr>
          <w:p>
            <w:pPr>
              <w:numPr>
                <w:ilvl w:val="0"/>
                <w:numId w:val="9"/>
              </w:num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绝缘电阻应≥500MΩ；</w:t>
            </w:r>
          </w:p>
          <w:p>
            <w:pPr>
              <w:numPr>
                <w:ilvl w:val="0"/>
                <w:numId w:val="9"/>
              </w:num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应无击穿及闪络。</w:t>
            </w:r>
          </w:p>
          <w:p>
            <w:pPr>
              <w:numPr>
                <w:ilvl w:val="0"/>
                <w:numId w:val="9"/>
              </w:num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接地</w:t>
            </w:r>
            <w:r>
              <w:rPr>
                <w:rFonts w:hint="eastAsia" w:ascii="宋体" w:hAnsi="宋体" w:cs="宋体"/>
                <w:szCs w:val="21"/>
              </w:rPr>
              <w:t>电阻应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＜10</w:t>
            </w:r>
            <w:r>
              <w:rPr>
                <w:rFonts w:hint="eastAsia" w:ascii="宋体" w:hAnsi="宋体" w:cs="宋体"/>
                <w:szCs w:val="21"/>
              </w:rPr>
              <w:t>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6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</w:t>
            </w:r>
          </w:p>
        </w:tc>
        <w:tc>
          <w:tcPr>
            <w:tcW w:w="1507" w:type="dxa"/>
            <w:vAlign w:val="center"/>
          </w:tcPr>
          <w:p>
            <w:pPr>
              <w:spacing w:line="360" w:lineRule="auto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二次控制回路保养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及检修</w:t>
            </w:r>
          </w:p>
        </w:tc>
        <w:tc>
          <w:tcPr>
            <w:tcW w:w="3693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(1)</w:t>
            </w:r>
            <w:r>
              <w:rPr>
                <w:rFonts w:hint="eastAsia" w:ascii="宋体" w:hAnsi="宋体" w:cs="宋体"/>
                <w:szCs w:val="21"/>
              </w:rPr>
              <w:t>有二次接线清扫、检查、紧固；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(2)</w:t>
            </w:r>
            <w:r>
              <w:rPr>
                <w:rFonts w:hint="eastAsia" w:ascii="宋体" w:hAnsi="宋体" w:cs="宋体"/>
                <w:szCs w:val="21"/>
              </w:rPr>
              <w:t>继电器及信号灯检查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(3)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配电柜二次线及继电器、交流接触器故障检修。</w:t>
            </w:r>
          </w:p>
        </w:tc>
        <w:tc>
          <w:tcPr>
            <w:tcW w:w="3118" w:type="dxa"/>
            <w:vAlign w:val="center"/>
          </w:tcPr>
          <w:p>
            <w:pPr>
              <w:numPr>
                <w:ilvl w:val="0"/>
                <w:numId w:val="10"/>
              </w:num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牢固，编号完整清晰，螺丝齐全无滑牙现象；</w:t>
            </w:r>
          </w:p>
          <w:p>
            <w:pPr>
              <w:numPr>
                <w:ilvl w:val="0"/>
                <w:numId w:val="10"/>
              </w:num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开关位置指示正确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6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6</w:t>
            </w:r>
          </w:p>
        </w:tc>
        <w:tc>
          <w:tcPr>
            <w:tcW w:w="1507" w:type="dxa"/>
            <w:vAlign w:val="center"/>
          </w:tcPr>
          <w:p>
            <w:pPr>
              <w:spacing w:line="360" w:lineRule="auto"/>
              <w:rPr>
                <w:rFonts w:hint="default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主回路回路电阻测量</w:t>
            </w:r>
          </w:p>
        </w:tc>
        <w:tc>
          <w:tcPr>
            <w:tcW w:w="3693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(1)用回路电阻测试仪测量各主回路的回路电阻值</w:t>
            </w:r>
          </w:p>
        </w:tc>
        <w:tc>
          <w:tcPr>
            <w:tcW w:w="3118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rPr>
                <w:rFonts w:hint="default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(1)各回路的各相阻值应平衡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6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7</w:t>
            </w:r>
          </w:p>
        </w:tc>
        <w:tc>
          <w:tcPr>
            <w:tcW w:w="1507" w:type="dxa"/>
            <w:vAlign w:val="center"/>
          </w:tcPr>
          <w:p>
            <w:pPr>
              <w:spacing w:line="360" w:lineRule="auto"/>
              <w:rPr>
                <w:rFonts w:hint="default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电流回路的连续性</w:t>
            </w:r>
          </w:p>
        </w:tc>
        <w:tc>
          <w:tcPr>
            <w:tcW w:w="3693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(1)用大电流发生器给电流互感器施加一次电流</w:t>
            </w:r>
          </w:p>
        </w:tc>
        <w:tc>
          <w:tcPr>
            <w:tcW w:w="3118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rPr>
                <w:rFonts w:hint="default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(1)各绕组对应在仪表显示应一致。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6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8</w:t>
            </w:r>
          </w:p>
        </w:tc>
        <w:tc>
          <w:tcPr>
            <w:tcW w:w="1507" w:type="dxa"/>
            <w:vAlign w:val="center"/>
          </w:tcPr>
          <w:p>
            <w:pPr>
              <w:spacing w:line="360" w:lineRule="auto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继电保护试验</w:t>
            </w:r>
          </w:p>
        </w:tc>
        <w:tc>
          <w:tcPr>
            <w:tcW w:w="3693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(1)用继电保护仪对综保进行设定参数的试验</w:t>
            </w:r>
          </w:p>
        </w:tc>
        <w:tc>
          <w:tcPr>
            <w:tcW w:w="3118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(1)综保及断路器应可靠动作。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9180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变压器保养实验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6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</w:t>
            </w:r>
          </w:p>
        </w:tc>
        <w:tc>
          <w:tcPr>
            <w:tcW w:w="1507" w:type="dxa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变压器变比实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验</w:t>
            </w:r>
          </w:p>
        </w:tc>
        <w:tc>
          <w:tcPr>
            <w:tcW w:w="6811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1参数在合格范围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6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</w:t>
            </w:r>
          </w:p>
        </w:tc>
        <w:tc>
          <w:tcPr>
            <w:tcW w:w="150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直流电阻实验</w:t>
            </w:r>
          </w:p>
        </w:tc>
        <w:tc>
          <w:tcPr>
            <w:tcW w:w="6811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Chars="0" w:firstLine="415" w:firstLineChars="0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1高低压绕组电阻平衡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6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</w:t>
            </w:r>
          </w:p>
        </w:tc>
        <w:tc>
          <w:tcPr>
            <w:tcW w:w="1507" w:type="dxa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绝缘电阻实验</w:t>
            </w:r>
          </w:p>
        </w:tc>
        <w:tc>
          <w:tcPr>
            <w:tcW w:w="6811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2绝缘必须达标（</w:t>
            </w:r>
            <w:r>
              <w:rPr>
                <w:rFonts w:hint="eastAsia" w:ascii="宋体" w:hAnsi="宋体" w:cs="宋体"/>
                <w:szCs w:val="21"/>
              </w:rPr>
              <w:t>绝缘电阻应≥500MΩ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）</w:t>
            </w:r>
          </w:p>
        </w:tc>
      </w:tr>
    </w:tbl>
    <w:p>
      <w:pPr>
        <w:rPr>
          <w:rFonts w:hint="default"/>
          <w:sz w:val="28"/>
          <w:szCs w:val="28"/>
          <w:lang w:val="en-US" w:eastAsia="zh-CN"/>
        </w:rPr>
      </w:pPr>
    </w:p>
    <w:p>
      <w:pPr>
        <w:tabs>
          <w:tab w:val="left" w:pos="1041"/>
        </w:tabs>
        <w:bidi w:val="0"/>
        <w:jc w:val="left"/>
        <w:rPr>
          <w:rFonts w:hint="eastAsia" w:ascii="宋体" w:hAnsi="宋体" w:eastAsia="宋体" w:cs="宋体"/>
          <w:sz w:val="27"/>
          <w:szCs w:val="27"/>
          <w:lang w:val="en-US" w:eastAsia="zh-CN"/>
        </w:rPr>
      </w:pPr>
      <w:r>
        <w:rPr>
          <w:rFonts w:hint="eastAsia" w:ascii="宋体" w:hAnsi="宋体" w:eastAsia="宋体" w:cs="宋体"/>
          <w:sz w:val="27"/>
          <w:szCs w:val="27"/>
          <w:lang w:val="en-US" w:eastAsia="zh-CN"/>
        </w:rPr>
        <w:t>营业执照复印件 （盖公章）</w:t>
      </w:r>
    </w:p>
    <w:p>
      <w:pPr>
        <w:tabs>
          <w:tab w:val="left" w:pos="1041"/>
        </w:tabs>
        <w:bidi w:val="0"/>
        <w:jc w:val="left"/>
        <w:rPr>
          <w:rFonts w:hint="eastAsia" w:ascii="宋体" w:hAnsi="宋体" w:eastAsia="宋体" w:cs="宋体"/>
          <w:sz w:val="27"/>
          <w:szCs w:val="27"/>
          <w:lang w:val="en-US" w:eastAsia="zh-CN"/>
        </w:rPr>
      </w:pPr>
    </w:p>
    <w:p>
      <w:pPr>
        <w:tabs>
          <w:tab w:val="left" w:pos="1041"/>
        </w:tabs>
        <w:bidi w:val="0"/>
        <w:jc w:val="left"/>
        <w:rPr>
          <w:rFonts w:hint="eastAsia" w:ascii="宋体" w:hAnsi="宋体" w:eastAsia="宋体" w:cs="宋体"/>
          <w:sz w:val="27"/>
          <w:szCs w:val="27"/>
          <w:lang w:val="en-US" w:eastAsia="zh-CN"/>
        </w:rPr>
      </w:pPr>
      <w:r>
        <w:rPr>
          <w:rFonts w:hint="eastAsia" w:ascii="宋体" w:hAnsi="宋体" w:eastAsia="宋体" w:cs="宋体"/>
          <w:sz w:val="27"/>
          <w:szCs w:val="27"/>
          <w:lang w:val="en-US" w:eastAsia="zh-CN"/>
        </w:rPr>
        <w:t>法人代表委托书（盖公章）</w:t>
      </w:r>
    </w:p>
    <w:p>
      <w:pPr>
        <w:tabs>
          <w:tab w:val="left" w:pos="1041"/>
        </w:tabs>
        <w:bidi w:val="0"/>
        <w:jc w:val="left"/>
        <w:rPr>
          <w:rFonts w:hint="eastAsia" w:ascii="宋体" w:hAnsi="宋体" w:eastAsia="宋体" w:cs="宋体"/>
          <w:sz w:val="27"/>
          <w:szCs w:val="27"/>
          <w:lang w:val="en-US" w:eastAsia="zh-CN"/>
        </w:rPr>
      </w:pPr>
    </w:p>
    <w:p>
      <w:pPr>
        <w:tabs>
          <w:tab w:val="left" w:pos="1041"/>
        </w:tabs>
        <w:bidi w:val="0"/>
        <w:jc w:val="left"/>
        <w:rPr>
          <w:rFonts w:hint="default"/>
          <w:lang w:val="en-US" w:eastAsia="zh-CN"/>
        </w:rPr>
      </w:pPr>
      <w:r>
        <w:rPr>
          <w:rFonts w:hint="eastAsia" w:ascii="宋体" w:hAnsi="宋体" w:eastAsia="宋体" w:cs="宋体"/>
          <w:sz w:val="27"/>
          <w:szCs w:val="27"/>
          <w:lang w:val="en-US" w:eastAsia="zh-CN"/>
        </w:rPr>
        <w:t>资质证书复印件（盖公章）</w:t>
      </w:r>
    </w:p>
    <w:sectPr>
      <w:footerReference r:id="rId7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G Times">
    <w:altName w:val="Times New Roman"/>
    <w:panose1 w:val="00000000000000000000"/>
    <w:charset w:val="00"/>
    <w:family w:val="roman"/>
    <w:pitch w:val="default"/>
    <w:sig w:usb0="00000000" w:usb1="00000000" w:usb2="00000000" w:usb3="00000000" w:csb0="00000093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/>
      </w:rPr>
      <w:t>第</w:t>
    </w:r>
    <w:r>
      <w:fldChar w:fldCharType="begin"/>
    </w:r>
    <w:r>
      <w:instrText xml:space="preserve"> PAGE  \* Arabic  \* MERGEFORMAT </w:instrText>
    </w:r>
    <w:r>
      <w:fldChar w:fldCharType="separate"/>
    </w:r>
    <w:r>
      <w:t>50</w:t>
    </w:r>
    <w:r>
      <w:fldChar w:fldCharType="end"/>
    </w:r>
    <w:r>
      <w:rPr>
        <w:rFonts w:hint="eastAsia"/>
      </w:rPr>
      <w:t>页</w:t>
    </w:r>
    <w:r>
      <w:t xml:space="preserve">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A33E420"/>
    <w:multiLevelType w:val="singleLevel"/>
    <w:tmpl w:val="8A33E420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">
    <w:nsid w:val="91EBA3BE"/>
    <w:multiLevelType w:val="singleLevel"/>
    <w:tmpl w:val="91EBA3BE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92DC3193"/>
    <w:multiLevelType w:val="singleLevel"/>
    <w:tmpl w:val="92DC3193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3">
    <w:nsid w:val="E7451C74"/>
    <w:multiLevelType w:val="singleLevel"/>
    <w:tmpl w:val="E7451C74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4">
    <w:nsid w:val="029BB088"/>
    <w:multiLevelType w:val="singleLevel"/>
    <w:tmpl w:val="029BB088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5">
    <w:nsid w:val="28020941"/>
    <w:multiLevelType w:val="multilevel"/>
    <w:tmpl w:val="28020941"/>
    <w:lvl w:ilvl="0" w:tentative="0">
      <w:start w:val="1"/>
      <w:numFmt w:val="chineseCountingThousand"/>
      <w:suff w:val="nothing"/>
      <w:lvlText w:val="第%1部分"/>
      <w:lvlJc w:val="left"/>
      <w:pPr>
        <w:ind w:left="7372" w:firstLine="0"/>
      </w:pPr>
    </w:lvl>
    <w:lvl w:ilvl="1" w:tentative="0">
      <w:start w:val="1"/>
      <w:numFmt w:val="upperLetter"/>
      <w:pStyle w:val="3"/>
      <w:suff w:val="nothing"/>
      <w:lvlText w:val="%2"/>
      <w:lvlJc w:val="left"/>
      <w:pPr>
        <w:ind w:left="4516" w:firstLine="0"/>
      </w:pPr>
    </w:lvl>
    <w:lvl w:ilvl="2" w:tentative="0">
      <w:start w:val="1"/>
      <w:numFmt w:val="decimal"/>
      <w:lvlRestart w:val="0"/>
      <w:suff w:val="nothing"/>
      <w:lvlText w:val="%3"/>
      <w:lvlJc w:val="left"/>
      <w:pPr>
        <w:ind w:left="4516" w:firstLine="0"/>
      </w:pPr>
      <w:rPr>
        <w:rFonts w:hint="eastAsia" w:ascii="宋体" w:eastAsia="宋体"/>
        <w:b/>
        <w:i w:val="0"/>
        <w:sz w:val="28"/>
      </w:rPr>
    </w:lvl>
    <w:lvl w:ilvl="3" w:tentative="0">
      <w:start w:val="1"/>
      <w:numFmt w:val="none"/>
      <w:suff w:val="nothing"/>
      <w:lvlText w:val=""/>
      <w:lvlJc w:val="left"/>
      <w:pPr>
        <w:ind w:left="4516" w:firstLine="0"/>
      </w:pPr>
      <w:rPr>
        <w:rFonts w:hint="eastAsia"/>
      </w:rPr>
    </w:lvl>
    <w:lvl w:ilvl="4" w:tentative="0">
      <w:start w:val="1"/>
      <w:numFmt w:val="none"/>
      <w:suff w:val="nothing"/>
      <w:lvlText w:val=""/>
      <w:lvlJc w:val="left"/>
      <w:pPr>
        <w:ind w:left="4516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4516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4516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4516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4516" w:firstLine="0"/>
      </w:pPr>
      <w:rPr>
        <w:rFonts w:hint="eastAsia"/>
      </w:rPr>
    </w:lvl>
  </w:abstractNum>
  <w:abstractNum w:abstractNumId="6">
    <w:nsid w:val="52682F29"/>
    <w:multiLevelType w:val="multilevel"/>
    <w:tmpl w:val="52682F29"/>
    <w:lvl w:ilvl="0" w:tentative="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5F7AD56"/>
    <w:multiLevelType w:val="singleLevel"/>
    <w:tmpl w:val="55F7AD56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8">
    <w:nsid w:val="6E363506"/>
    <w:multiLevelType w:val="singleLevel"/>
    <w:tmpl w:val="6E363506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9">
    <w:nsid w:val="7433164D"/>
    <w:multiLevelType w:val="multilevel"/>
    <w:tmpl w:val="7433164D"/>
    <w:lvl w:ilvl="0" w:tentative="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3D6"/>
    <w:rsid w:val="0018282D"/>
    <w:rsid w:val="001E5029"/>
    <w:rsid w:val="00235B9E"/>
    <w:rsid w:val="00312B9B"/>
    <w:rsid w:val="007D03D6"/>
    <w:rsid w:val="00821B9F"/>
    <w:rsid w:val="00A94CA9"/>
    <w:rsid w:val="00DC3687"/>
    <w:rsid w:val="01CB0329"/>
    <w:rsid w:val="0216422B"/>
    <w:rsid w:val="05314AE0"/>
    <w:rsid w:val="08524B71"/>
    <w:rsid w:val="09932641"/>
    <w:rsid w:val="17E25CA9"/>
    <w:rsid w:val="1FDE14F7"/>
    <w:rsid w:val="23BA54D8"/>
    <w:rsid w:val="301215AA"/>
    <w:rsid w:val="32A260AF"/>
    <w:rsid w:val="34251A88"/>
    <w:rsid w:val="389F1D63"/>
    <w:rsid w:val="390709DF"/>
    <w:rsid w:val="3F622639"/>
    <w:rsid w:val="41286A48"/>
    <w:rsid w:val="414403DA"/>
    <w:rsid w:val="42926EF4"/>
    <w:rsid w:val="441374C8"/>
    <w:rsid w:val="4A8349C1"/>
    <w:rsid w:val="5ACB25B1"/>
    <w:rsid w:val="5E2B07B9"/>
    <w:rsid w:val="60C467FC"/>
    <w:rsid w:val="62B641EA"/>
    <w:rsid w:val="64120846"/>
    <w:rsid w:val="6653068F"/>
    <w:rsid w:val="69A15DC7"/>
    <w:rsid w:val="70F7195A"/>
    <w:rsid w:val="75CC472E"/>
    <w:rsid w:val="7EC81476"/>
    <w:rsid w:val="7F5D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qFormat="1" w:uiPriority="99" w:semiHidden="0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260" w:after="260" w:line="415" w:lineRule="auto"/>
      <w:jc w:val="center"/>
      <w:outlineLvl w:val="1"/>
    </w:pPr>
    <w:rPr>
      <w:rFonts w:ascii="CG Times" w:hAnsi="CG Times"/>
      <w:b/>
      <w:sz w:val="30"/>
      <w:szCs w:val="20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clear" w:color="auto" w:fill="7F7F7F"/>
      <w:spacing w:before="100" w:beforeAutospacing="1" w:after="100" w:afterAutospacing="1"/>
      <w:ind w:left="1080" w:leftChars="500" w:hanging="1080" w:hangingChars="500"/>
    </w:pPr>
    <w:rPr>
      <w:rFonts w:ascii="Arial" w:hAnsi="Arial" w:cs="Arial"/>
      <w:sz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styleId="8">
    <w:name w:val="page number"/>
    <w:basedOn w:val="7"/>
    <w:qFormat/>
    <w:uiPriority w:val="0"/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paragraph" w:customStyle="1" w:styleId="10">
    <w:name w:val="Normal_20"/>
    <w:qFormat/>
    <w:uiPriority w:val="0"/>
    <w:pPr>
      <w:spacing w:before="120" w:after="240"/>
      <w:jc w:val="both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11">
    <w:name w:val="font9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41"/>
    <w:basedOn w:val="7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4218</Words>
  <Characters>4873</Characters>
  <Lines>6</Lines>
  <Paragraphs>1</Paragraphs>
  <TotalTime>0</TotalTime>
  <ScaleCrop>false</ScaleCrop>
  <LinksUpToDate>false</LinksUpToDate>
  <CharactersWithSpaces>6353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2019-10-14T07:50:00Z</dcterms:created>
  <dc:creator>雷培英</dc:creator>
  <cp:lastModifiedBy>赵</cp:lastModifiedBy>
  <cp:lastPrinted>2019-10-15T03:43:00Z</cp:lastPrinted>
  <dcterms:modified xsi:type="dcterms:W3CDTF">2021-09-28T08:00:43Z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33BF31FA6AF84D80B1A1BADCFBD400AE</vt:lpwstr>
  </property>
</Properties>
</file>