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宋体"/>
          <w:b/>
          <w:sz w:val="32"/>
          <w:szCs w:val="32"/>
          <w:lang w:val="en-US" w:eastAsia="zh-CN"/>
        </w:rPr>
      </w:pPr>
      <w:bookmarkStart w:id="1" w:name="_GoBack"/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关于江西省科学技术馆（江西省青少年科技中心）高低压柜维保项目的报价函</w:t>
      </w:r>
      <w:bookmarkEnd w:id="1"/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我单位拟就“关于江西省科学技术馆（江西省青少年科技中心）高低压柜维保项目”进行报价，按附件中的需求进行报价（含税的报价格式详见附件1、2），报价格式如下：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4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4"/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XXXXX</w:t>
      </w:r>
    </w:p>
    <w:p>
      <w:pPr>
        <w:pStyle w:val="4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年 月 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4"/>
        <w:numPr>
          <w:ilvl w:val="0"/>
          <w:numId w:val="0"/>
        </w:num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pStyle w:val="4"/>
        <w:numPr>
          <w:ilvl w:val="0"/>
          <w:numId w:val="0"/>
        </w:numPr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4"/>
        <w:numPr>
          <w:ilvl w:val="0"/>
          <w:numId w:val="0"/>
        </w:numPr>
        <w:jc w:val="left"/>
        <w:rPr>
          <w:rFonts w:hint="default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附件1</w:t>
      </w:r>
    </w:p>
    <w:p>
      <w:pPr>
        <w:pStyle w:val="4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报价一览表（格式可自拟）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</w:t>
      </w:r>
    </w:p>
    <w:tbl>
      <w:tblPr>
        <w:tblStyle w:val="7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关于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江西省科学技术馆（江西省青少年科技中心）高低压柜维保项目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bidi w:val="0"/>
        <w:jc w:val="left"/>
        <w:rPr>
          <w:rFonts w:hint="eastAsia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 xml:space="preserve">附件2               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分项报价表（格式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可自拟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           </w:t>
      </w:r>
    </w:p>
    <w:tbl>
      <w:tblPr>
        <w:tblStyle w:val="7"/>
        <w:tblW w:w="100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875"/>
        <w:gridCol w:w="1890"/>
        <w:gridCol w:w="1020"/>
        <w:gridCol w:w="915"/>
        <w:gridCol w:w="915"/>
        <w:gridCol w:w="124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工程名称:江西省科学技术馆（江西省青少年科技中心）高低压维保项目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序号 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SCBH15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出线至变压器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低压进线柜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低压联络柜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低压有源滤波柜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低压电容柜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低压出线柜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  <w:r>
              <w:rPr>
                <w:rStyle w:val="10"/>
                <w:lang w:val="en-US" w:eastAsia="zh-CN" w:bidi="ar"/>
              </w:rPr>
              <w:t>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序号 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江西省青少年科技活动中心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SCB11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出线至变压器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低压进线柜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低压联络柜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低压电容柜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低压出线柜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  <w:r>
              <w:rPr>
                <w:rStyle w:val="10"/>
                <w:lang w:val="en-US" w:eastAsia="zh-CN" w:bidi="ar"/>
              </w:rPr>
              <w:t>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总价大写：</w:t>
            </w: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维保需求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包括必要的清扫维护和检查调整。高低压开关柜的保养，包括柜内真空断路器的检查 维护，开关柜内一次设备预防性试验、微机保护器的更换、母线停电保养，计划保养每年一次。 高低压开关柜的保养周期及保养前、后的试验项目和标准按《机电工程质量检验评定标准第二册机电工程》（JTG 2182-2020）、及电力行业相关技术标准、规范要求执行。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高低压柜日常维护项目和要求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检查、清扫开关柜，柜体清洁无灰尘，柜面观察窗清洁透明。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柜面元件安装端正，接线牢固，电度表、高压带电指示装置、继电器及信号灯工作正常，符合相关规定。检查开关位置指示信号灯指示正确。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开关柜密封良好，门锁齐全，机械和电气带电闭锁装置作用可靠，在有电情况下不能打开柜门。手车位置检测行程开关作用良好，能正确反映手车位置。开关机械位置闭锁装置作用良好。检查二次回路连接牢固，接线正确。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拉出手车，检查开关柜后部带电防护档板作用良好，开关手车拉出后能自动复位。</w:t>
      </w:r>
    </w:p>
    <w:p>
      <w:pPr>
        <w:numPr>
          <w:ilvl w:val="0"/>
          <w:numId w:val="1"/>
        </w:numPr>
        <w:tabs>
          <w:tab w:val="left" w:pos="360"/>
          <w:tab w:val="left" w:pos="6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检查柜体接地良好，手车接地轨道接触良好，表面无锈蚀现象，并涂干黄油。手车推拉应轻松灵活，到位后能自动闭锁定位，无卡滞现象。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电流互感器及过电压吸收装置。擦拭互感器及过电压吸收装置表面，检查一次接线紧固情况。检查互感器二次端子和铁芯接地良好。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电流互感器、电压互感器、绝缘套件、防雷器等柜内关键元器件凝露受潮检修、清洁、保养（须采取措施保持配电设备、元器件绝缘在规定范围值）；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配电柜二次线及继电器、交流接触器故障检修；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配电柜进出线孔、面板防潮胶条密封处理。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将巡检保养发现的问题清单，统一汇总至甲方；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详细做好保养试运行记录。</w:t>
      </w:r>
    </w:p>
    <w:p>
      <w:p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ind w:left="614" w:leftChars="192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保养工艺及质量标准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507"/>
        <w:gridCol w:w="36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保养项目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工艺要点及注意事项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开关柜体保养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断路器，隔离开关，互锁灵敏，操作顺畅。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接地闸刀及闭锁机构检查；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柜内加热器检查；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开关位置接点通断情况检查；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电流互感器、电压互感器、绝缘套件、防雷器等柜内关键元器件凝露受潮检修、清洁、保养（须采取措施保持配电设备、元器件绝缘在规定范围值）；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配电柜进出线孔、面板防潮胶条密封处理。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开关柜内无异物，位置正确。轴销齐全、连杆无变形现象；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各电气连接部分可靠、无过热变色变形等现象。各闭锁装置正常并涂抹凡士林；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接线紧固无松动，端子编号齐全，加热器完好；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外壳完整无碎裂，接点动作灵活可靠，接线紧固无松动。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断路器、隔离刀闸等配电开关保养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遮断器外观检查；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真空遮断器绝缘子检查；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断路器及其开关凝露受潮清洁、保养，以及黄油保养（须采取措施保持配电设备、元器件绝缘在规定范围值）。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外表完好无裂纹，固定螺丝紧固无松动；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表面应清洁完好，无碎裂、无灰尘、无污垢及变色现象。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辅助设备保养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打开电缆仓盖板，清扫检查电缆仓；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CT、PT、支撑瓷瓶检查；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动力电缆头检查；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接地装置检查；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三相过电压吸收器检查；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母线、各绝缘子、母线连接处各绝缘外套及接头等检查。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部清洁无灰尘；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孔洞封堵完好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CT、PT、支撑瓷瓶外表绝缘完好，无积灰、开裂、劣化现象；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电缆头主绝缘完好，相位标记清晰，相序对应一致；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操作良好，接地可靠，活动件的轴销、卡簧齐全不缺；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吸收器完好，安装牢固；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母线无放电痕迹现象。接头牢固无过热、变色等现象。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耐压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(1)用2500V摇表测量主回路相间及对地绝缘；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(2)用耐压仪测量主回路相间及对地耐压；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(3)用接地电阻测试仪测量接地。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绝缘电阻应≥500MΩ；</w:t>
            </w:r>
          </w:p>
          <w:p>
            <w:pPr>
              <w:numPr>
                <w:ilvl w:val="0"/>
                <w:numId w:val="8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应无击穿及闪络。</w:t>
            </w:r>
          </w:p>
          <w:p>
            <w:pPr>
              <w:numPr>
                <w:ilvl w:val="0"/>
                <w:numId w:val="8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接地电阻应＜10Ω；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二次控制回路保养及检修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(1)有二次接线清扫、检查、紧固；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(2)继电器及信号灯检查；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(3)配电柜二次线及继电器、交流接触器故障检修。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牢固，编号完整清晰，螺丝齐全无滑牙现象；</w:t>
            </w:r>
          </w:p>
          <w:p>
            <w:pPr>
              <w:numPr>
                <w:ilvl w:val="0"/>
                <w:numId w:val="9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开关位置指示正确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主回路回路电阻测量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(1)用回路电阻测试仪测量各主回路的回路电阻值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(1)各回路的各相阻值应平衡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电流回路的连续性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(1)用大电流发生器给电流互感器施加一次电流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(1)各绕组对应在仪表显示应一致。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继电保护试验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(1)用继电保护仪对综保进行设定参数的试验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(1)综保及断路器应可靠动作。</w:t>
            </w:r>
          </w:p>
        </w:tc>
      </w:tr>
    </w:tbl>
    <w:p>
      <w:pPr>
        <w:pStyle w:val="4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Toc13124"/>
    </w:p>
    <w:p>
      <w:pPr>
        <w:pStyle w:val="4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商务条款</w:t>
      </w:r>
      <w:bookmarkEnd w:id="0"/>
    </w:p>
    <w:p>
      <w:pPr>
        <w:pStyle w:val="3"/>
        <w:keepLines w:val="0"/>
        <w:spacing w:line="500" w:lineRule="exact"/>
        <w:jc w:val="left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1.履约保证金：不适用。</w:t>
      </w:r>
    </w:p>
    <w:p>
      <w:pPr>
        <w:pStyle w:val="3"/>
        <w:keepLines w:val="0"/>
        <w:spacing w:line="500" w:lineRule="exact"/>
        <w:jc w:val="left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2.付款方式：合同签之后，维保6个月后付总金额的50%，剩下待维保期结束后一次性支付。</w:t>
      </w:r>
    </w:p>
    <w:p>
      <w:pPr>
        <w:pStyle w:val="3"/>
        <w:keepLines w:val="0"/>
        <w:spacing w:line="500" w:lineRule="exact"/>
        <w:jc w:val="left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</w:rPr>
        <w:t>3.服务期限：一年（2023年3月1日至2024年2月29日）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4.服务标准：符合国家相关标准、行业标准、地方标准等。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供应商的响应报价中应包含供应商提供服务及伴随的一切费用，包括但不限于方案实施、技术服务、人员费用、设备租赁、所有搭建、设备货物基础装、卸搬运工作、材料、交通和其他在服务期内所必需的服务、以及与之相关发生的所有税费、规费、保险费（如果有）等竞争性磋商文件中规定的供应商应承担的其他费用。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供应商在维护保养过程中，如遇到零部件老化或损坏，需要更换零部件的情况，零部件单次更换或维修金额在人民币1000元以下时，由供应商负责，零部件单次更换或维修金额在人民币1000元以上时，供应商上报采购人，由采购人和供应商协商处理。</w:t>
      </w:r>
    </w:p>
    <w:p>
      <w:pPr>
        <w:pStyle w:val="2"/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7.服务地点：采购人指定地点。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50</w:t>
    </w:r>
    <w:r>
      <w:fldChar w:fldCharType="end"/>
    </w:r>
    <w:r>
      <w:rPr>
        <w:rFonts w:hint="eastAsia"/>
      </w:rPr>
      <w:t>页</w:t>
    </w:r>
    <w: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50</w:t>
    </w:r>
    <w:r>
      <w:fldChar w:fldCharType="end"/>
    </w:r>
    <w:r>
      <w:rPr>
        <w:rFonts w:hint="eastAsia"/>
      </w:rPr>
      <w:t>页</w:t>
    </w:r>
    <w:r>
      <w:t xml:space="preserve">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3E420"/>
    <w:multiLevelType w:val="singleLevel"/>
    <w:tmpl w:val="8A33E42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91EBA3BE"/>
    <w:multiLevelType w:val="singleLevel"/>
    <w:tmpl w:val="91EBA3B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cs="Times New Roman"/>
      </w:rPr>
    </w:lvl>
  </w:abstractNum>
  <w:abstractNum w:abstractNumId="2">
    <w:nsid w:val="92DC3193"/>
    <w:multiLevelType w:val="singleLevel"/>
    <w:tmpl w:val="92DC319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cs="Times New Roman"/>
      </w:rPr>
    </w:lvl>
  </w:abstractNum>
  <w:abstractNum w:abstractNumId="3">
    <w:nsid w:val="E7451C74"/>
    <w:multiLevelType w:val="singleLevel"/>
    <w:tmpl w:val="E7451C7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cs="Times New Roman"/>
      </w:rPr>
    </w:lvl>
  </w:abstractNum>
  <w:abstractNum w:abstractNumId="4">
    <w:nsid w:val="029BB088"/>
    <w:multiLevelType w:val="singleLevel"/>
    <w:tmpl w:val="029BB08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cs="Times New Roman"/>
      </w:rPr>
    </w:lvl>
  </w:abstractNum>
  <w:abstractNum w:abstractNumId="5">
    <w:nsid w:val="52682F29"/>
    <w:multiLevelType w:val="multilevel"/>
    <w:tmpl w:val="52682F29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5F7AD56"/>
    <w:multiLevelType w:val="singleLevel"/>
    <w:tmpl w:val="55F7AD5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cs="Times New Roman"/>
      </w:rPr>
    </w:lvl>
  </w:abstractNum>
  <w:abstractNum w:abstractNumId="7">
    <w:nsid w:val="6E363506"/>
    <w:multiLevelType w:val="singleLevel"/>
    <w:tmpl w:val="6E36350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cs="Times New Roman"/>
      </w:rPr>
    </w:lvl>
  </w:abstractNum>
  <w:abstractNum w:abstractNumId="8">
    <w:nsid w:val="7433164D"/>
    <w:multiLevelType w:val="multilevel"/>
    <w:tmpl w:val="7433164D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10373A8C"/>
    <w:rsid w:val="103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2022-12-07T06:35:00Z</dcterms:created>
  <dc:creator>一米阳光</dc:creator>
  <cp:lastModifiedBy>一米阳光</cp:lastModifiedBy>
  <dcterms:modified xsi:type="dcterms:W3CDTF">2022-12-07T06:36:29Z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BB00829719E34A5389C20EED69409A4C</vt:lpwstr>
  </property>
</Properties>
</file>