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bookmarkStart w:id="1" w:name="_GoBack"/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关于江西省科学技术馆（江西省青少年科技中心）高低压柜维保项目的报价函</w:t>
      </w:r>
      <w:bookmarkEnd w:id="1"/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我单位拟就“关于江西省科学技术馆（江西省青少年科技中心）高低压柜维保项目”进行报价，按附件中的需求进行报价（含税的报价格式详见附件1、2），报价格式如下：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4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XXXXX</w:t>
      </w:r>
    </w:p>
    <w:p>
      <w:pPr>
        <w:pStyle w:val="4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年 月 日</w:t>
      </w:r>
    </w:p>
    <w:p>
      <w:pPr>
        <w:tabs>
          <w:tab w:val="left" w:pos="3366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4"/>
        <w:numPr>
          <w:ilvl w:val="0"/>
          <w:numId w:val="0"/>
        </w:num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附件1</w:t>
      </w:r>
    </w:p>
    <w:p>
      <w:pPr>
        <w:pStyle w:val="4"/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报价一览表（格式可自拟）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</w:t>
      </w:r>
    </w:p>
    <w:tbl>
      <w:tblPr>
        <w:tblStyle w:val="7"/>
        <w:tblW w:w="806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总价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元)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关于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江西省科学技术馆（江西省青少年科技中心）高低压柜维保项目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   </w:t>
      </w:r>
    </w:p>
    <w:p>
      <w:pPr>
        <w:bidi w:val="0"/>
        <w:jc w:val="left"/>
        <w:rPr>
          <w:rFonts w:hint="eastAsia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附件2         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分项报价表（格式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可自拟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           </w:t>
      </w:r>
    </w:p>
    <w:tbl>
      <w:tblPr>
        <w:tblStyle w:val="7"/>
        <w:tblW w:w="10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75"/>
        <w:gridCol w:w="1890"/>
        <w:gridCol w:w="1020"/>
        <w:gridCol w:w="915"/>
        <w:gridCol w:w="915"/>
        <w:gridCol w:w="124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工程名称:江西省科学技术馆（江西省青少年科技中心）高低压维保项目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序号   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SCBH15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出线至变压器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低压进线柜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低压联络柜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低压有源滤波柜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低压电容柜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低压出线柜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  <w:r>
              <w:rPr>
                <w:rStyle w:val="10"/>
                <w:lang w:val="en-US" w:eastAsia="zh-CN" w:bidi="ar"/>
              </w:rPr>
              <w:t>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序号   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江西省青少年科技活动中心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SCB11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出线至变压器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低压进线柜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低压联络柜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低压电容柜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低压出线柜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  <w:r>
              <w:rPr>
                <w:rStyle w:val="10"/>
                <w:lang w:val="en-US" w:eastAsia="zh-CN" w:bidi="ar"/>
              </w:rPr>
              <w:t>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总价大写：</w:t>
            </w:r>
          </w:p>
        </w:tc>
        <w:tc>
          <w:tcPr>
            <w:tcW w:w="7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440" w:right="1440" w:bottom="1440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维保需求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包括必要的清扫维护和检查调整。高低压开关柜的保养，包括柜内真空断路器的检查 维护，开关柜内一次设备预防性试验、微机保护器的更换、母线停电保养，计划保养每年一次。 高低压开关柜的保养周期及保养前、后的试验项目和标准按《机电工程质量检验评定标准第二册机电工程》（JTG 2182-2020）、及电力行业相关技术标准、规范要求执行。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高低压柜日常维护项目和要求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检查、清扫开关柜，柜体清洁无灰尘，柜面观察窗清洁透明。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柜面元件安装端正，接线牢固，电度表、高压带电指示装置、继电器及信号灯工作正常，符合相关规定。检查开关位置指示信号灯指示正确。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开关柜密封良好，门锁齐全，机械和电气带电闭锁装置作用可靠，在有电情况下不能打开柜门。手车位置检测行程开关作用良好，能正确反映手车位置。开关机械位置闭锁装置作用良好。检查二次回路连接牢固，接线正确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拉出手车，检查开关柜后部带电防护档板作用良好，开关手车拉出后能自动复位。</w:t>
      </w:r>
    </w:p>
    <w:p>
      <w:pPr>
        <w:numPr>
          <w:ilvl w:val="0"/>
          <w:numId w:val="1"/>
        </w:numPr>
        <w:tabs>
          <w:tab w:val="left" w:pos="360"/>
          <w:tab w:val="left" w:pos="6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检查柜体接地良好，手车接地轨道接触良好，表面无锈蚀现象，并涂干黄油。手车推拉应轻松灵活，到位后能自动闭锁定位，无卡滞现象。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电流互感器及过电压吸收装置。擦拭互感器及过电压吸收装置表面，检查一次接线紧固情况。检查互感器二次端子和铁芯接地良好。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电流互感器、电压互感器、绝缘套件、防雷器等柜内关键元器件凝露受潮检修、清洁、保养（须采取措施保持配电设备、元器件绝缘在规定范围值）；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配电柜二次线及继电器、交流接触器故障检修；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配电柜进出线孔、面板防潮胶条密封处理。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将巡检保养发现的问题清单，统一汇总至甲方；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详细做好保养试运行记录。</w:t>
      </w:r>
    </w:p>
    <w:p>
      <w:p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ind w:left="614" w:leftChars="192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保养工艺及质量标准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507"/>
        <w:gridCol w:w="36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保养项目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工艺要点及注意事项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开关柜体保养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断路器，隔离开关，互锁灵敏，操作顺畅。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接地闸刀及闭锁机构检查；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柜内加热器检查；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开关位置接点通断情况检查；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电流互感器、电压互感器、绝缘套件、防雷器等柜内关键元器件凝露受潮检修、清洁、保养（须采取措施保持配电设备、元器件绝缘在规定范围值）；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配电柜进出线孔、面板防潮胶条密封处理。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开关柜内无异物，位置正确。轴销齐全、连杆无变形现象；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各电气连接部分可靠、无过热变色变形等现象。各闭锁装置正常并涂抹凡士林；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接线紧固无松动，端子编号齐全，加热器完好；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外壳完整无碎裂，接点动作灵活可靠，接线紧固无松动。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断路器、隔离刀闸等配电开关保养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遮断器外观检查；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真空遮断器绝缘子检查；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断路器及其开关凝露受潮清洁、保养，以及黄油保养（须采取措施保持配电设备、元器件绝缘在规定范围值）。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外表完好无裂纹，固定螺丝紧固无松动；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表面应清洁完好，无碎裂、无灰尘、无污垢及变色现象。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辅助设备保养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打开电缆仓盖板，清扫检查电缆仓；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CT、PT、支撑瓷瓶检查；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动力电缆头检查；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接地装置检查；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三相过电压吸收器检查；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母线、各绝缘子、母线连接处各绝缘外套及接头等检查。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部清洁无灰尘；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孔洞封堵完好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CT、PT、支撑瓷瓶外表绝缘完好，无积灰、开裂、劣化现象；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电缆头主绝缘完好，相位标记清晰，相序对应一致；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操作良好，接地可靠，活动件的轴销、卡簧齐全不缺；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吸收器完好，安装牢固；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母线无放电痕迹现象。接头牢固无过热、变色等现象。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耐压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(1)用2500V摇表测量主回路相间及对地绝缘；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(2)用耐压仪测量主回路相间及对地耐压；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(3)用接地电阻测试仪测量接地。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绝缘电阻应≥500MΩ；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应无击穿及闪络。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接地电阻应＜10Ω；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二次控制回路保养及检修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(1)有二次接线清扫、检查、紧固；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(2)继电器及信号灯检查；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(3)配电柜二次线及继电器、交流接触器故障检修。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牢固，编号完整清晰，螺丝齐全无滑牙现象；</w:t>
            </w:r>
          </w:p>
          <w:p>
            <w:pPr>
              <w:numPr>
                <w:ilvl w:val="0"/>
                <w:numId w:val="9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开关位置指示正确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主回路回路电阻测量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(1)用回路电阻测试仪测量各主回路的回路电阻值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(1)各回路的各相阻值应平衡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电流回路的连续性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(1)用大电流发生器给电流互感器施加一次电流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(1)各绕组对应在仪表显示应一致。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继电保护试验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(1)用继电保护仪对综保进行设定参数的试验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(1)综保及断路器应可靠动作。</w:t>
            </w:r>
          </w:p>
        </w:tc>
      </w:tr>
    </w:tbl>
    <w:p>
      <w:pPr>
        <w:pStyle w:val="4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Toc13124"/>
    </w:p>
    <w:p>
      <w:pPr>
        <w:pStyle w:val="4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商务条款</w:t>
      </w:r>
      <w:bookmarkEnd w:id="0"/>
    </w:p>
    <w:p>
      <w:pPr>
        <w:pStyle w:val="3"/>
        <w:keepLines w:val="0"/>
        <w:spacing w:line="500" w:lineRule="exact"/>
        <w:jc w:val="left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1.履约保证金：不适用。</w:t>
      </w:r>
    </w:p>
    <w:p>
      <w:pPr>
        <w:pStyle w:val="3"/>
        <w:keepLines w:val="0"/>
        <w:spacing w:line="500" w:lineRule="exact"/>
        <w:jc w:val="left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2.付款方式：合同签之后，维保6个月后付总金额的50%，剩下待维保期结束后一次性支付。</w:t>
      </w:r>
    </w:p>
    <w:p>
      <w:pPr>
        <w:pStyle w:val="3"/>
        <w:keepLines w:val="0"/>
        <w:spacing w:line="500" w:lineRule="exact"/>
        <w:jc w:val="left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3.服务期限：一年（2023年3月1日至2024年2月29日）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4.服务标准：符合国家相关标准、行业标准、地方标准等。</w:t>
      </w:r>
    </w:p>
    <w:p>
      <w:pPr>
        <w:spacing w:line="5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供应商的响应报价中应包含供应商提供服务及伴随的一切费用，包括但不限于方案实施、技术服务、人员费用、设备租赁、所有搭建、设备货物基础装、卸搬运工作、材料、交通和其他在服务期内所必需的服务、以及与之相关发生的所有税费、规费、保险费（如果有）等竞争性磋商文件中规定的供应商应承担的其他费用。</w:t>
      </w:r>
    </w:p>
    <w:p>
      <w:pPr>
        <w:spacing w:line="5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供应商在维护保养过程中，如遇到零部件老化或损坏，需要更换零部件的情况，零部件单次更换或维修金额在人民币1000元以下时，由供应商负责，零部件单次更换或维修金额在人民币1000元以上时，供应商上报采购人，由采购人和供应商协商处理。</w:t>
      </w:r>
    </w:p>
    <w:p>
      <w:pPr>
        <w:pStyle w:val="2"/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7.服务地点：采购人指定地点。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>
      <w:t>50</w:t>
    </w:r>
    <w:r>
      <w:fldChar w:fldCharType="end"/>
    </w:r>
    <w:r>
      <w:rPr>
        <w:rFonts w:hint="eastAsia"/>
      </w:rPr>
      <w:t>页</w:t>
    </w:r>
    <w:r>
      <w:t xml:space="preserve">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>
      <w:t>50</w:t>
    </w:r>
    <w:r>
      <w:fldChar w:fldCharType="end"/>
    </w:r>
    <w:r>
      <w:rPr>
        <w:rFonts w:hint="eastAsia"/>
      </w:rPr>
      <w:t>页</w:t>
    </w:r>
    <w:r>
      <w:t xml:space="preserve">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3E420"/>
    <w:multiLevelType w:val="singleLevel"/>
    <w:tmpl w:val="8A33E42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1">
    <w:nsid w:val="91EBA3BE"/>
    <w:multiLevelType w:val="singleLevel"/>
    <w:tmpl w:val="91EBA3B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2">
    <w:nsid w:val="92DC3193"/>
    <w:multiLevelType w:val="singleLevel"/>
    <w:tmpl w:val="92DC319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3">
    <w:nsid w:val="E7451C74"/>
    <w:multiLevelType w:val="singleLevel"/>
    <w:tmpl w:val="E7451C7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4">
    <w:nsid w:val="029BB088"/>
    <w:multiLevelType w:val="singleLevel"/>
    <w:tmpl w:val="029BB08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5">
    <w:nsid w:val="52682F29"/>
    <w:multiLevelType w:val="multilevel"/>
    <w:tmpl w:val="52682F29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5F7AD56"/>
    <w:multiLevelType w:val="singleLevel"/>
    <w:tmpl w:val="55F7AD5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7">
    <w:nsid w:val="6E363506"/>
    <w:multiLevelType w:val="singleLevel"/>
    <w:tmpl w:val="6E36350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8">
    <w:nsid w:val="7433164D"/>
    <w:multiLevelType w:val="multilevel"/>
    <w:tmpl w:val="7433164D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10373A8C"/>
    <w:rsid w:val="1037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2022-12-07T06:35:00Z</dcterms:created>
  <dc:creator>一米阳光</dc:creator>
  <cp:lastModifiedBy>一米阳光</cp:lastModifiedBy>
  <dcterms:modified xsi:type="dcterms:W3CDTF">2022-12-07T06:36:29Z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BB00829719E34A5389C20EED69409A4C</vt:lpwstr>
  </property>
</Properties>
</file>