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pPr>
      <w:bookmarkStart w:id="0" w:name="_GoBack"/>
      <w:r>
        <w:rPr>
          <w:rFonts w:hint="eastAsia" w:ascii="宋体" w:hAnsi="宋体" w:cs="宋体"/>
          <w:b/>
          <w:bCs/>
          <w:sz w:val="44"/>
          <w:szCs w:val="44"/>
        </w:rPr>
        <w:t>江西省科学技术馆</w:t>
      </w:r>
      <w:r>
        <w:rPr>
          <w:rFonts w:hint="eastAsia" w:ascii="宋体" w:hAnsi="宋体" w:cs="宋体"/>
          <w:b/>
          <w:bCs/>
          <w:sz w:val="44"/>
          <w:szCs w:val="44"/>
          <w:lang w:val="en-US" w:eastAsia="zh-CN"/>
        </w:rPr>
        <w:t>电梯责任险采购</w:t>
      </w:r>
      <w:r>
        <w:rPr>
          <w:rFonts w:hint="eastAsia" w:ascii="宋体" w:hAnsi="宋体" w:cs="宋体"/>
          <w:b/>
          <w:bCs/>
          <w:sz w:val="44"/>
          <w:szCs w:val="44"/>
        </w:rPr>
        <w:t>项目</w:t>
      </w:r>
      <w:r>
        <w:rPr>
          <w:rFonts w:hint="eastAsia"/>
        </w:rPr>
        <w:t>的报价函</w:t>
      </w:r>
    </w:p>
    <w:bookmarkEnd w:id="0"/>
    <w:p>
      <w:pPr>
        <w:spacing w:line="360" w:lineRule="auto"/>
        <w:jc w:val="left"/>
        <w:rPr>
          <w:rFonts w:ascii="仿宋" w:hAnsi="仿宋" w:eastAsia="仿宋" w:cs="仿宋"/>
          <w:sz w:val="32"/>
          <w:szCs w:val="32"/>
        </w:rPr>
      </w:pPr>
      <w:r>
        <w:rPr>
          <w:rFonts w:hint="eastAsia" w:ascii="仿宋" w:hAnsi="仿宋" w:eastAsia="仿宋" w:cs="仿宋"/>
          <w:bCs/>
          <w:color w:val="000000"/>
          <w:sz w:val="32"/>
          <w:szCs w:val="32"/>
        </w:rPr>
        <w:t>江西省科学技术馆</w:t>
      </w:r>
      <w:r>
        <w:rPr>
          <w:rFonts w:hint="eastAsia" w:ascii="仿宋" w:hAnsi="仿宋" w:eastAsia="仿宋" w:cs="仿宋"/>
          <w:sz w:val="32"/>
          <w:szCs w:val="32"/>
        </w:rPr>
        <w:t>：</w:t>
      </w:r>
    </w:p>
    <w:p>
      <w:pPr>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我单位拟就“江西省科学技术馆</w:t>
      </w:r>
      <w:r>
        <w:rPr>
          <w:rFonts w:hint="eastAsia" w:ascii="仿宋" w:hAnsi="仿宋" w:eastAsia="仿宋" w:cs="仿宋"/>
          <w:sz w:val="32"/>
          <w:szCs w:val="32"/>
          <w:lang w:val="en-US" w:eastAsia="zh-CN"/>
        </w:rPr>
        <w:t>电梯责任险采购</w:t>
      </w:r>
      <w:r>
        <w:rPr>
          <w:rFonts w:hint="eastAsia" w:ascii="仿宋" w:hAnsi="仿宋" w:eastAsia="仿宋" w:cs="仿宋"/>
          <w:sz w:val="32"/>
          <w:szCs w:val="32"/>
        </w:rPr>
        <w:t>项目”进行报价，按附件中的需求进行报价（含税的报价格式详见附件</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），报价格式如下：</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联系人：</w:t>
      </w:r>
      <w:r>
        <w:rPr>
          <w:rFonts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r>
        <w:rPr>
          <w:rFonts w:ascii="仿宋" w:hAnsi="仿宋" w:eastAsia="仿宋" w:cs="仿宋"/>
          <w:sz w:val="32"/>
          <w:szCs w:val="32"/>
        </w:rPr>
        <w:t xml:space="preserve">                 </w:t>
      </w:r>
    </w:p>
    <w:p>
      <w:pPr>
        <w:rPr>
          <w:rFonts w:ascii="仿宋" w:hAnsi="仿宋" w:eastAsia="仿宋" w:cs="仿宋"/>
          <w:sz w:val="32"/>
          <w:szCs w:val="32"/>
        </w:rPr>
      </w:pPr>
    </w:p>
    <w:p>
      <w:pPr>
        <w:pStyle w:val="3"/>
        <w:numPr>
          <w:ilvl w:val="0"/>
          <w:numId w:val="0"/>
        </w:numPr>
        <w:rPr>
          <w:rFonts w:ascii="仿宋" w:hAnsi="仿宋" w:eastAsia="仿宋" w:cs="仿宋"/>
          <w:color w:val="000000"/>
          <w:sz w:val="32"/>
          <w:szCs w:val="32"/>
        </w:rPr>
      </w:pPr>
    </w:p>
    <w:p>
      <w:pPr>
        <w:pStyle w:val="3"/>
        <w:numPr>
          <w:ilvl w:val="0"/>
          <w:numId w:val="0"/>
        </w:numPr>
        <w:rPr>
          <w:rFonts w:ascii="仿宋" w:hAnsi="仿宋" w:eastAsia="仿宋" w:cs="仿宋"/>
          <w:color w:val="000000"/>
          <w:sz w:val="32"/>
          <w:szCs w:val="32"/>
        </w:rPr>
      </w:pPr>
    </w:p>
    <w:p>
      <w:pPr>
        <w:pStyle w:val="3"/>
        <w:numPr>
          <w:ilvl w:val="0"/>
          <w:numId w:val="0"/>
        </w:numPr>
        <w:jc w:val="right"/>
        <w:rPr>
          <w:rFonts w:ascii="仿宋" w:hAnsi="仿宋" w:eastAsia="仿宋" w:cs="仿宋"/>
          <w:b w:val="0"/>
          <w:bCs/>
          <w:color w:val="000000"/>
          <w:sz w:val="32"/>
          <w:szCs w:val="32"/>
        </w:rPr>
      </w:pPr>
      <w:r>
        <w:rPr>
          <w:rFonts w:ascii="仿宋" w:hAnsi="仿宋" w:eastAsia="仿宋" w:cs="仿宋"/>
          <w:b w:val="0"/>
          <w:bCs/>
          <w:color w:val="000000"/>
          <w:sz w:val="32"/>
          <w:szCs w:val="32"/>
        </w:rPr>
        <w:t>XXXXX</w:t>
      </w:r>
    </w:p>
    <w:p>
      <w:pPr>
        <w:pStyle w:val="3"/>
        <w:numPr>
          <w:ilvl w:val="0"/>
          <w:numId w:val="0"/>
        </w:numPr>
        <w:jc w:val="right"/>
        <w:rPr>
          <w:rFonts w:ascii="仿宋" w:hAnsi="仿宋" w:eastAsia="仿宋" w:cs="仿宋"/>
          <w:sz w:val="32"/>
          <w:szCs w:val="32"/>
        </w:rPr>
      </w:pPr>
      <w:r>
        <w:rPr>
          <w:rFonts w:hint="eastAsia" w:ascii="仿宋" w:hAnsi="仿宋" w:eastAsia="仿宋" w:cs="仿宋"/>
          <w:b w:val="0"/>
          <w:bCs/>
          <w:color w:val="000000"/>
          <w:sz w:val="32"/>
          <w:szCs w:val="32"/>
        </w:rPr>
        <w:t>年</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月</w:t>
      </w:r>
      <w:r>
        <w:rPr>
          <w:rFonts w:ascii="仿宋" w:hAnsi="仿宋" w:eastAsia="仿宋" w:cs="仿宋"/>
          <w:b w:val="0"/>
          <w:bCs/>
          <w:color w:val="000000"/>
          <w:sz w:val="32"/>
          <w:szCs w:val="32"/>
        </w:rPr>
        <w:t xml:space="preserve"> </w:t>
      </w:r>
      <w:r>
        <w:rPr>
          <w:rFonts w:hint="eastAsia" w:ascii="仿宋" w:hAnsi="仿宋" w:eastAsia="仿宋" w:cs="仿宋"/>
          <w:b w:val="0"/>
          <w:bCs/>
          <w:color w:val="000000"/>
          <w:sz w:val="32"/>
          <w:szCs w:val="32"/>
        </w:rPr>
        <w:t>日</w:t>
      </w:r>
    </w:p>
    <w:p>
      <w:pPr>
        <w:tabs>
          <w:tab w:val="left" w:pos="3366"/>
        </w:tabs>
      </w:pPr>
      <w:r>
        <w:tab/>
      </w:r>
    </w:p>
    <w:p>
      <w:pPr>
        <w:pStyle w:val="3"/>
        <w:numPr>
          <w:ilvl w:val="0"/>
          <w:numId w:val="0"/>
        </w:numPr>
        <w:jc w:val="both"/>
        <w:rPr>
          <w:rFonts w:ascii="宋体" w:cs="宋体"/>
          <w:color w:val="000000"/>
          <w:sz w:val="28"/>
          <w:szCs w:val="28"/>
        </w:rPr>
      </w:pPr>
    </w:p>
    <w:p/>
    <w:p>
      <w:pPr>
        <w:pStyle w:val="3"/>
        <w:numPr>
          <w:ilvl w:val="0"/>
          <w:numId w:val="0"/>
        </w:numPr>
        <w:jc w:val="left"/>
        <w:rPr>
          <w:rFonts w:hint="eastAsia" w:ascii="宋体" w:hAnsi="宋体" w:cs="宋体"/>
          <w:color w:val="000000"/>
          <w:sz w:val="28"/>
          <w:szCs w:val="28"/>
        </w:rPr>
      </w:pPr>
    </w:p>
    <w:p>
      <w:pPr>
        <w:pStyle w:val="3"/>
        <w:numPr>
          <w:ilvl w:val="0"/>
          <w:numId w:val="0"/>
        </w:numPr>
        <w:jc w:val="left"/>
        <w:rPr>
          <w:rFonts w:ascii="宋体" w:cs="宋体"/>
          <w:color w:val="000000"/>
          <w:sz w:val="28"/>
          <w:szCs w:val="28"/>
        </w:rPr>
      </w:pPr>
      <w:r>
        <w:rPr>
          <w:rFonts w:hint="eastAsia" w:ascii="宋体" w:hAnsi="宋体" w:cs="宋体"/>
          <w:color w:val="000000"/>
          <w:sz w:val="28"/>
          <w:szCs w:val="28"/>
        </w:rPr>
        <w:t>附件</w:t>
      </w:r>
      <w:r>
        <w:rPr>
          <w:rFonts w:ascii="宋体" w:hAnsi="宋体" w:cs="宋体"/>
          <w:color w:val="000000"/>
          <w:sz w:val="28"/>
          <w:szCs w:val="28"/>
        </w:rPr>
        <w:t>1</w:t>
      </w:r>
    </w:p>
    <w:p>
      <w:pPr>
        <w:pStyle w:val="3"/>
        <w:numPr>
          <w:ilvl w:val="0"/>
          <w:numId w:val="0"/>
        </w:numPr>
        <w:rPr>
          <w:rFonts w:hint="eastAsia" w:ascii="宋体" w:hAnsi="宋体" w:eastAsia="宋体" w:cs="宋体"/>
          <w:color w:val="000000"/>
          <w:sz w:val="28"/>
          <w:szCs w:val="28"/>
        </w:rPr>
      </w:pPr>
      <w:r>
        <w:rPr>
          <w:rFonts w:hint="eastAsia" w:ascii="宋体" w:hAnsi="宋体" w:eastAsia="宋体" w:cs="宋体"/>
          <w:color w:val="000000"/>
          <w:sz w:val="28"/>
          <w:szCs w:val="28"/>
        </w:rPr>
        <w:t>报价一览表（格式可自拟）</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tbl>
      <w:tblPr>
        <w:tblStyle w:val="5"/>
        <w:tblW w:w="91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2"/>
        <w:gridCol w:w="5020"/>
        <w:gridCol w:w="3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top w:val="single" w:color="auto" w:sz="8" w:space="0"/>
              <w:lef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5020" w:type="dxa"/>
            <w:tcBorders>
              <w:top w:val="single" w:color="auto" w:sz="8"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308" w:type="dxa"/>
            <w:tcBorders>
              <w:top w:val="single" w:color="auto" w:sz="8"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总价（元)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12" w:type="dxa"/>
            <w:tcBorders>
              <w:left w:val="single" w:color="auto" w:sz="4" w:space="0"/>
              <w:bottom w:val="single" w:color="auto" w:sz="8" w:space="0"/>
            </w:tcBorders>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5020" w:type="dxa"/>
            <w:tcBorders>
              <w:bottom w:val="single" w:color="auto" w:sz="8" w:space="0"/>
            </w:tcBorders>
            <w:noWrap w:val="0"/>
            <w:vAlign w:val="center"/>
          </w:tcPr>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江西省科学技术馆</w:t>
            </w:r>
            <w:r>
              <w:rPr>
                <w:rFonts w:hint="eastAsia" w:ascii="宋体" w:hAnsi="宋体" w:eastAsia="宋体" w:cs="宋体"/>
                <w:color w:val="000000"/>
                <w:sz w:val="24"/>
                <w:szCs w:val="24"/>
                <w:lang w:val="en-US" w:eastAsia="zh-CN"/>
              </w:rPr>
              <w:t>电梯责任险采购</w:t>
            </w:r>
            <w:r>
              <w:rPr>
                <w:rFonts w:hint="eastAsia" w:ascii="宋体" w:hAnsi="宋体" w:eastAsia="宋体" w:cs="宋体"/>
                <w:color w:val="000000"/>
                <w:sz w:val="24"/>
                <w:szCs w:val="24"/>
              </w:rPr>
              <w:t>项目</w:t>
            </w:r>
          </w:p>
        </w:tc>
        <w:tc>
          <w:tcPr>
            <w:tcW w:w="3308" w:type="dxa"/>
            <w:tcBorders>
              <w:bottom w:val="single" w:color="auto" w:sz="8" w:space="0"/>
              <w:right w:val="single" w:color="auto" w:sz="4" w:space="0"/>
            </w:tcBorders>
            <w:noWrap w:val="0"/>
            <w:vAlign w:val="center"/>
          </w:tcPr>
          <w:p>
            <w:pPr>
              <w:spacing w:line="360" w:lineRule="auto"/>
              <w:jc w:val="center"/>
              <w:rPr>
                <w:rFonts w:hint="eastAsia" w:ascii="宋体" w:hAnsi="宋体" w:eastAsia="宋体" w:cs="宋体"/>
                <w:color w:val="000000"/>
                <w:sz w:val="24"/>
                <w:szCs w:val="24"/>
              </w:rPr>
            </w:pPr>
          </w:p>
        </w:tc>
      </w:tr>
    </w:tbl>
    <w:p>
      <w:pPr>
        <w:autoSpaceDE w:val="0"/>
        <w:autoSpaceDN w:val="0"/>
        <w:adjustRightInd w:val="0"/>
        <w:spacing w:line="360" w:lineRule="auto"/>
        <w:rPr>
          <w:rFonts w:hint="eastAsia" w:ascii="宋体" w:hAnsi="宋体" w:eastAsia="宋体" w:cs="宋体"/>
          <w:color w:val="000000"/>
          <w:kern w:val="0"/>
          <w:sz w:val="24"/>
          <w:szCs w:val="24"/>
        </w:rPr>
      </w:pPr>
    </w:p>
    <w:p>
      <w:pPr>
        <w:autoSpaceDE w:val="0"/>
        <w:autoSpaceDN w:val="0"/>
        <w:adjustRightInd w:val="0"/>
        <w:spacing w:beforeLines="100" w:afterLines="100" w:line="360" w:lineRule="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供应商名称（盖章）：</w:t>
      </w:r>
      <w:r>
        <w:rPr>
          <w:rFonts w:hint="eastAsia" w:ascii="宋体" w:hAnsi="宋体" w:eastAsia="宋体" w:cs="宋体"/>
          <w:color w:val="000000"/>
          <w:kern w:val="0"/>
          <w:sz w:val="24"/>
          <w:szCs w:val="24"/>
          <w:u w:val="single"/>
        </w:rPr>
        <w:t xml:space="preserve">                            </w:t>
      </w:r>
    </w:p>
    <w:p>
      <w:pPr>
        <w:rPr>
          <w:rFonts w:hint="eastAsia" w:ascii="宋体" w:hAnsi="宋体" w:eastAsia="宋体" w:cs="宋体"/>
          <w:sz w:val="28"/>
          <w:szCs w:val="28"/>
        </w:rPr>
      </w:pPr>
      <w:r>
        <w:rPr>
          <w:rFonts w:hint="eastAsia" w:ascii="宋体" w:hAnsi="宋体" w:eastAsia="宋体" w:cs="宋体"/>
          <w:color w:val="000000"/>
          <w:sz w:val="24"/>
          <w:szCs w:val="24"/>
        </w:rPr>
        <w:t>法人或授权代表（签字）：</w:t>
      </w:r>
      <w:r>
        <w:rPr>
          <w:rFonts w:hint="eastAsia" w:ascii="宋体" w:hAnsi="宋体" w:eastAsia="宋体" w:cs="宋体"/>
          <w:color w:val="000000"/>
          <w:sz w:val="24"/>
          <w:szCs w:val="24"/>
          <w:u w:val="single"/>
        </w:rPr>
        <w:t xml:space="preserve">                         </w:t>
      </w:r>
    </w:p>
    <w:p>
      <w:pPr>
        <w:widowControl/>
        <w:jc w:val="left"/>
        <w:rPr>
          <w:rFonts w:hint="eastAsia" w:ascii="宋体" w:hAnsi="宋体" w:eastAsia="宋体" w:cs="宋体"/>
          <w:b/>
          <w:sz w:val="28"/>
          <w:szCs w:val="28"/>
        </w:rPr>
      </w:pPr>
      <w:r>
        <w:rPr>
          <w:rFonts w:hint="eastAsia" w:ascii="宋体" w:hAnsi="宋体" w:eastAsia="宋体" w:cs="宋体"/>
          <w:szCs w:val="28"/>
        </w:rPr>
        <w:br w:type="page"/>
      </w:r>
    </w:p>
    <w:p>
      <w:pPr>
        <w:pStyle w:val="3"/>
        <w:numPr>
          <w:ilvl w:val="0"/>
          <w:numId w:val="0"/>
        </w:numPr>
        <w:jc w:val="left"/>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附件2  电梯信息</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921"/>
        <w:gridCol w:w="630"/>
        <w:gridCol w:w="1121"/>
        <w:gridCol w:w="618"/>
        <w:gridCol w:w="618"/>
        <w:gridCol w:w="1528"/>
        <w:gridCol w:w="174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江西省科技馆新馆电梯情况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载重（kg)</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设备维保单位</w:t>
            </w:r>
          </w:p>
        </w:tc>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使用登记证编号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蒂升电梯（中国）有限公司南昌分公司</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梯11赣AF02865(21)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8年以下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梯11赣AF02866(21)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梯11赣AF02867(21)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梯11赣AF02868(21)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梯11赣AF02869(21)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梯11赣AF02870(21)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梯11赣AF02871(21)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货梯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5000kg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（梯12赣AF00937)19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梯11赣AF02872(21)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梯11赣AF02873(21)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梯11赣AF02874(21)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梯11赣AF02875(21)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梯11赣AF02876(21)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梯11赣AF02877(21)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梯11赣AF02878(21)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梯11赣AF02879(21)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梯11赣AF02880(21)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梯11赣AF02881(21)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梯11赣AF02882(21)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江西省青少中心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客梯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梯11赣A3829（16）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迅达（中国）电梯有限公司江西分公司</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梯31赣AF00057(20)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梯31赣AF00056(20)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梯31赣AF00058(20)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梯31赣AF00059(20)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梯31赣AF00059(20)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梯31赣AF00061(20)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梯31赣AF00062(20)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江西省科技馆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梯31赣AF00063(20)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3"/>
        <w:numPr>
          <w:ilvl w:val="0"/>
          <w:numId w:val="0"/>
        </w:numPr>
        <w:jc w:val="left"/>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pStyle w:val="3"/>
        <w:numPr>
          <w:ilvl w:val="0"/>
          <w:numId w:val="0"/>
        </w:numPr>
        <w:jc w:val="left"/>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附件3  主要要求</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3"/>
        <w:gridCol w:w="783"/>
        <w:gridCol w:w="6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每台电 梯累计 事故赔 偿限额 500 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每次事故责任限额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每次事故赔偿限额150万元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每人每次事故累计赔偿限额40万元，其中包括医疗费用3万元，财产损失1.5万元，医疗及财产损失免赔10%。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每人每次事故财产损失赔偿限额10万元，每次事故财产损失赔偿限额150万元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特别约定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1、电梯第三者责任保险实行定额赔偿，死亡、残疾责任限额相等，最高累计赔偿限额参照每人每次事故赔偿限额。</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2、乘梯人员因保险责任范围内的事故遭受人身伤害，因就医治疗支出的各项费用，包括医疗费（根据救治需要，包括医保内、医保外各项医疗费）、护理费、住宿费、交通费用、住院伙食补贴费用，保险人根据国家有关规定或人民法院的认定，在保险合同规定的赔偿金限额内予以全额赔偿，医疗费每次事故每人赔偿限额最高不超过 3万元。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3、乘梯人员因保险责任范围内的事故遭受人身伤害，导致残疾的，包括残疾赔偿金、残疾辅助器具费、被赡养人和被抚养人生活费，以及因康复护理、继续治疗实际发生的必要的康复费、护理费、后续治疗费，保险人根据国家有关规定或人民法院的认定，在保险合同规定的赔偿金限额内予以全额赔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4、残疾赔偿金为每人责任限额乘以《伤残赔偿比例表》中残疾对应的比例。十级 10% 九级 20% 八级 30% 七级 40% 六级 50% 五 级60% 四级 70% 三级 80% 二级 90% 一级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sz w:val="24"/>
                <w:szCs w:val="24"/>
                <w:u w:val="none"/>
              </w:rPr>
            </w:pPr>
            <w:r>
              <w:rPr>
                <w:rFonts w:hint="eastAsia" w:ascii="仿宋" w:hAnsi="仿宋" w:eastAsia="仿宋" w:cs="仿宋"/>
                <w:b/>
                <w:bCs/>
                <w:i w:val="0"/>
                <w:iCs w:val="0"/>
                <w:color w:val="000000"/>
                <w:sz w:val="32"/>
                <w:szCs w:val="32"/>
                <w:u w:val="none"/>
                <w:lang w:val="en-US" w:eastAsia="zh-CN"/>
              </w:rPr>
              <w:t>赔付要求：</w:t>
            </w:r>
            <w:r>
              <w:rPr>
                <w:rFonts w:hint="eastAsia" w:ascii="仿宋_GB2312" w:hAnsi="仿宋_GB2312" w:eastAsia="仿宋_GB2312" w:cs="仿宋_GB2312"/>
                <w:i w:val="0"/>
                <w:iCs w:val="0"/>
                <w:color w:val="000000"/>
                <w:kern w:val="0"/>
                <w:sz w:val="24"/>
                <w:szCs w:val="24"/>
                <w:u w:val="none"/>
                <w:lang w:val="en-US" w:eastAsia="zh-CN" w:bidi="ar"/>
              </w:rPr>
              <w:t>对收到的索赔材料进行审核， 并在 3 个工作日内向投保人反馈是否立案以及是否需要补充提供证明材料。对决定拒赔或者不予立案的， 出具正式的书面意见。对索赔材料齐全的案件，小案（赔付金额 3000 元以内）5个工作日、中案（赔付金额 3000 元至 2 万元） 7 个工作日、大案 （赔付金额 2 万元至 10 万元） 10个工作日内，重大案件（赔付金额 10 万元以上） 15 个工作日内开具赔款通知书。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before="79" w:beforeAutospacing="0" w:after="0" w:afterAutospacing="0"/>
              <w:ind w:right="0" w:firstLine="0" w:firstLineChars="0"/>
              <w:jc w:val="left"/>
              <w:textAlignment w:val="baseline"/>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合格供应商资格要求：</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9" w:beforeAutospacing="0" w:after="0" w:afterAutospacing="0"/>
              <w:ind w:right="0" w:firstLine="0" w:firstLineChars="0"/>
              <w:jc w:val="left"/>
              <w:textAlignment w:val="baseline"/>
              <w:rPr>
                <w:rFonts w:hint="default" w:ascii="仿宋_GB2312" w:hAnsi="仿宋_GB2312" w:eastAsia="仿宋_GB2312" w:cs="仿宋_GB2312"/>
                <w:snapToGrid/>
                <w:color w:val="000000"/>
                <w:spacing w:val="-2"/>
                <w:kern w:val="0"/>
                <w:sz w:val="24"/>
                <w:szCs w:val="24"/>
                <w:lang w:val="en-US" w:eastAsia="zh-CN" w:bidi="ar"/>
              </w:rPr>
            </w:pPr>
            <w:r>
              <w:rPr>
                <w:rFonts w:hint="default" w:ascii="仿宋_GB2312" w:hAnsi="仿宋_GB2312" w:eastAsia="仿宋_GB2312" w:cs="仿宋_GB2312"/>
                <w:snapToGrid/>
                <w:color w:val="000000"/>
                <w:spacing w:val="-2"/>
                <w:kern w:val="0"/>
                <w:sz w:val="24"/>
                <w:szCs w:val="24"/>
                <w:lang w:val="en-US" w:eastAsia="zh-CN" w:bidi="ar"/>
              </w:rPr>
              <w:t>1. 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9" w:beforeAutospacing="0" w:after="0" w:afterAutospacing="0"/>
              <w:ind w:right="0" w:firstLine="0" w:firstLineChars="0"/>
              <w:jc w:val="left"/>
              <w:textAlignment w:val="baseline"/>
              <w:rPr>
                <w:rFonts w:hint="default" w:ascii="仿宋_GB2312" w:hAnsi="仿宋_GB2312" w:eastAsia="仿宋_GB2312" w:cs="仿宋_GB2312"/>
                <w:snapToGrid/>
                <w:color w:val="000000"/>
                <w:spacing w:val="-2"/>
                <w:kern w:val="0"/>
                <w:sz w:val="24"/>
                <w:szCs w:val="24"/>
                <w:lang w:val="en-US" w:eastAsia="zh-CN" w:bidi="ar"/>
              </w:rPr>
            </w:pPr>
            <w:r>
              <w:rPr>
                <w:rFonts w:hint="default" w:ascii="仿宋_GB2312" w:hAnsi="仿宋_GB2312" w:eastAsia="仿宋_GB2312" w:cs="仿宋_GB2312"/>
                <w:snapToGrid/>
                <w:color w:val="000000"/>
                <w:spacing w:val="-2"/>
                <w:kern w:val="0"/>
                <w:sz w:val="24"/>
                <w:szCs w:val="24"/>
                <w:lang w:val="en-US" w:eastAsia="zh-CN" w:bidi="ar"/>
              </w:rPr>
              <w:t>2.本项目不接受联合体</w:t>
            </w:r>
            <w:r>
              <w:rPr>
                <w:rFonts w:hint="eastAsia" w:ascii="仿宋_GB2312" w:hAnsi="仿宋_GB2312" w:eastAsia="仿宋_GB2312" w:cs="仿宋_GB2312"/>
                <w:snapToGrid/>
                <w:color w:val="000000"/>
                <w:spacing w:val="-2"/>
                <w:kern w:val="0"/>
                <w:sz w:val="24"/>
                <w:szCs w:val="24"/>
                <w:lang w:val="en-US" w:eastAsia="zh-CN" w:bidi="ar"/>
              </w:rPr>
              <w:t>报价；</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9" w:beforeAutospacing="0" w:after="0" w:afterAutospacing="0"/>
              <w:ind w:right="0" w:firstLine="0" w:firstLineChars="0"/>
              <w:jc w:val="left"/>
              <w:textAlignment w:val="baseline"/>
              <w:rPr>
                <w:rFonts w:hint="default" w:ascii="仿宋_GB2312" w:hAnsi="仿宋_GB2312" w:eastAsia="仿宋_GB2312" w:cs="仿宋_GB2312"/>
                <w:b/>
                <w:bCs/>
                <w:snapToGrid/>
                <w:color w:val="000000"/>
                <w:spacing w:val="-2"/>
                <w:kern w:val="0"/>
                <w:sz w:val="24"/>
                <w:szCs w:val="24"/>
                <w:lang w:val="en-US" w:eastAsia="zh-CN" w:bidi="ar"/>
              </w:rPr>
            </w:pPr>
            <w:r>
              <w:rPr>
                <w:rFonts w:hint="default" w:ascii="仿宋_GB2312" w:hAnsi="仿宋_GB2312" w:eastAsia="仿宋_GB2312" w:cs="仿宋_GB2312"/>
                <w:b/>
                <w:bCs/>
                <w:snapToGrid/>
                <w:color w:val="000000"/>
                <w:spacing w:val="-2"/>
                <w:kern w:val="0"/>
                <w:sz w:val="24"/>
                <w:szCs w:val="24"/>
                <w:lang w:val="en-US" w:eastAsia="zh-CN" w:bidi="ar"/>
              </w:rPr>
              <w:t>3.投标人特定资格条件：</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9" w:beforeAutospacing="0" w:after="0" w:afterAutospacing="0"/>
              <w:ind w:right="0" w:firstLine="0" w:firstLineChars="0"/>
              <w:jc w:val="left"/>
              <w:textAlignment w:val="baseline"/>
              <w:rPr>
                <w:rFonts w:hint="default" w:ascii="仿宋_GB2312" w:hAnsi="仿宋_GB2312" w:eastAsia="仿宋_GB2312" w:cs="仿宋_GB2312"/>
                <w:snapToGrid/>
                <w:color w:val="000000"/>
                <w:spacing w:val="-2"/>
                <w:kern w:val="0"/>
                <w:sz w:val="24"/>
                <w:szCs w:val="24"/>
                <w:lang w:val="en-US" w:eastAsia="zh-CN" w:bidi="ar"/>
              </w:rPr>
            </w:pPr>
            <w:r>
              <w:rPr>
                <w:rFonts w:hint="default" w:ascii="仿宋_GB2312" w:hAnsi="仿宋_GB2312" w:eastAsia="仿宋_GB2312" w:cs="仿宋_GB2312"/>
                <w:snapToGrid/>
                <w:color w:val="000000"/>
                <w:spacing w:val="-2"/>
                <w:kern w:val="0"/>
                <w:sz w:val="24"/>
                <w:szCs w:val="24"/>
                <w:lang w:val="en-US" w:eastAsia="zh-CN" w:bidi="ar"/>
              </w:rPr>
              <w:t>3.1单位负责人为同一人或者存在直接控股、管理关系的不同供应商，不得参加同一合同项下的政府采购活动。</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9" w:beforeAutospacing="0" w:after="0" w:afterAutospacing="0"/>
              <w:ind w:right="0" w:firstLine="0" w:firstLineChars="0"/>
              <w:jc w:val="left"/>
              <w:textAlignment w:val="baseline"/>
              <w:rPr>
                <w:rFonts w:hint="default" w:ascii="仿宋_GB2312" w:hAnsi="仿宋_GB2312" w:eastAsia="仿宋_GB2312" w:cs="仿宋_GB2312"/>
                <w:snapToGrid/>
                <w:color w:val="000000"/>
                <w:spacing w:val="-2"/>
                <w:kern w:val="0"/>
                <w:sz w:val="24"/>
                <w:szCs w:val="24"/>
                <w:lang w:val="en-US" w:eastAsia="zh-CN" w:bidi="ar"/>
              </w:rPr>
            </w:pPr>
            <w:r>
              <w:rPr>
                <w:rFonts w:hint="default" w:ascii="仿宋_GB2312" w:hAnsi="仿宋_GB2312" w:eastAsia="仿宋_GB2312" w:cs="仿宋_GB2312"/>
                <w:snapToGrid/>
                <w:color w:val="000000"/>
                <w:spacing w:val="-2"/>
                <w:kern w:val="0"/>
                <w:sz w:val="24"/>
                <w:szCs w:val="24"/>
                <w:lang w:val="en-US" w:eastAsia="zh-CN" w:bidi="ar"/>
              </w:rPr>
              <w:t>3.2经中国银行保险监督管理委员会批准在中华人民共和国境内设立和营业的，并依法核定许可经营保险业务的保险公司；</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9" w:beforeAutospacing="0" w:after="0" w:afterAutospacing="0"/>
              <w:ind w:right="0" w:firstLine="0" w:firstLineChars="0"/>
              <w:jc w:val="left"/>
              <w:textAlignment w:val="baseline"/>
              <w:rPr>
                <w:rFonts w:hint="default" w:ascii="仿宋_GB2312" w:hAnsi="仿宋_GB2312" w:eastAsia="仿宋_GB2312" w:cs="仿宋_GB2312"/>
                <w:snapToGrid/>
                <w:color w:val="000000"/>
                <w:spacing w:val="-2"/>
                <w:kern w:val="0"/>
                <w:sz w:val="24"/>
                <w:szCs w:val="24"/>
                <w:lang w:val="en-US" w:eastAsia="zh-CN" w:bidi="ar"/>
              </w:rPr>
            </w:pPr>
            <w:r>
              <w:rPr>
                <w:rFonts w:hint="default" w:ascii="仿宋_GB2312" w:hAnsi="仿宋_GB2312" w:eastAsia="仿宋_GB2312" w:cs="仿宋_GB2312"/>
                <w:snapToGrid/>
                <w:color w:val="000000"/>
                <w:spacing w:val="-2"/>
                <w:kern w:val="0"/>
                <w:sz w:val="24"/>
                <w:szCs w:val="24"/>
                <w:lang w:val="en-US" w:eastAsia="zh-CN" w:bidi="ar"/>
              </w:rPr>
              <w:t>3.3具备国家保险监管机构颁发的保险经营许可资格（法人单位投标时，提供企业法人营业执照复印件（加盖公章）；分支机构等非独立法人参与投标的需提供总公司授权书）；</w:t>
            </w:r>
          </w:p>
          <w:p>
            <w:pPr>
              <w:jc w:val="left"/>
              <w:rPr>
                <w:rFonts w:hint="default" w:ascii="仿宋" w:hAnsi="仿宋" w:eastAsia="仿宋" w:cs="仿宋"/>
                <w:i w:val="0"/>
                <w:iCs w:val="0"/>
                <w:color w:val="000000"/>
                <w:sz w:val="24"/>
                <w:szCs w:val="24"/>
                <w:u w:val="none"/>
                <w:lang w:val="en-US" w:eastAsia="zh-CN"/>
              </w:rPr>
            </w:pPr>
          </w:p>
        </w:tc>
      </w:tr>
    </w:tbl>
    <w:p>
      <w:pPr>
        <w:rPr>
          <w:rFonts w:hint="eastAsia"/>
          <w:lang w:val="en-US" w:eastAsia="zh-CN"/>
        </w:rPr>
      </w:pPr>
      <w:r>
        <w:rPr>
          <w:rFonts w:hint="eastAsia"/>
          <w:lang w:val="en-US" w:eastAsia="zh-CN"/>
        </w:rPr>
        <w:t xml:space="preserve">  </w:t>
      </w:r>
    </w:p>
    <w:p>
      <w:pPr>
        <w:rPr>
          <w:rFonts w:hint="eastAsia"/>
          <w:lang w:val="en-US" w:eastAsia="zh-CN"/>
        </w:rPr>
      </w:pPr>
    </w:p>
    <w:p>
      <w:pPr>
        <w:pStyle w:val="3"/>
        <w:numPr>
          <w:ilvl w:val="0"/>
          <w:numId w:val="0"/>
        </w:numPr>
        <w:jc w:val="left"/>
        <w:rPr>
          <w:rFonts w:hint="eastAsia" w:ascii="宋体" w:hAnsi="宋体" w:cs="宋体"/>
          <w:color w:val="000000"/>
          <w:sz w:val="28"/>
          <w:szCs w:val="28"/>
          <w:lang w:val="en-US" w:eastAsia="zh-CN"/>
        </w:rPr>
      </w:pPr>
    </w:p>
    <w:p>
      <w:pPr>
        <w:pStyle w:val="3"/>
        <w:numPr>
          <w:ilvl w:val="0"/>
          <w:numId w:val="0"/>
        </w:numPr>
        <w:jc w:val="left"/>
        <w:rPr>
          <w:rFonts w:hint="eastAsia" w:ascii="宋体" w:hAnsi="宋体" w:cs="宋体"/>
          <w:color w:val="000000"/>
          <w:sz w:val="28"/>
          <w:szCs w:val="28"/>
          <w:lang w:val="en-US" w:eastAsia="zh-CN"/>
        </w:rPr>
      </w:pPr>
    </w:p>
    <w:p>
      <w:pPr>
        <w:pStyle w:val="3"/>
        <w:numPr>
          <w:ilvl w:val="0"/>
          <w:numId w:val="0"/>
        </w:numPr>
        <w:jc w:val="left"/>
        <w:rPr>
          <w:rFonts w:hint="eastAsia" w:ascii="宋体" w:hAnsi="宋体" w:cs="宋体"/>
          <w:color w:val="000000"/>
          <w:sz w:val="28"/>
          <w:szCs w:val="28"/>
          <w:lang w:val="en-US" w:eastAsia="zh-CN"/>
        </w:rPr>
      </w:pPr>
    </w:p>
    <w:p>
      <w:pPr>
        <w:pStyle w:val="3"/>
        <w:numPr>
          <w:ilvl w:val="0"/>
          <w:numId w:val="0"/>
        </w:numPr>
        <w:jc w:val="left"/>
        <w:rPr>
          <w:rFonts w:hint="eastAsia" w:ascii="宋体" w:hAnsi="宋体" w:cs="宋体"/>
          <w:color w:val="000000"/>
          <w:sz w:val="28"/>
          <w:szCs w:val="28"/>
          <w:lang w:val="en-US" w:eastAsia="zh-CN"/>
        </w:rPr>
      </w:pPr>
    </w:p>
    <w:p>
      <w:pPr>
        <w:pStyle w:val="3"/>
        <w:numPr>
          <w:ilvl w:val="0"/>
          <w:numId w:val="0"/>
        </w:numPr>
        <w:jc w:val="left"/>
        <w:rPr>
          <w:rFonts w:hint="eastAsia" w:ascii="宋体" w:hAnsi="宋体" w:cs="宋体"/>
          <w:color w:val="000000"/>
          <w:sz w:val="28"/>
          <w:szCs w:val="28"/>
          <w:lang w:val="en-US" w:eastAsia="zh-CN"/>
        </w:rPr>
      </w:pPr>
    </w:p>
    <w:p>
      <w:pPr>
        <w:pStyle w:val="3"/>
        <w:numPr>
          <w:ilvl w:val="0"/>
          <w:numId w:val="0"/>
        </w:numPr>
        <w:jc w:val="left"/>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rPr>
          <w:rFonts w:hint="eastAsia" w:ascii="宋体" w:hAnsi="宋体" w:cs="宋体"/>
          <w:color w:val="000000"/>
          <w:sz w:val="28"/>
          <w:szCs w:val="28"/>
          <w:lang w:val="en-US" w:eastAsia="zh-CN"/>
        </w:rPr>
      </w:pPr>
    </w:p>
    <w:p>
      <w:pPr>
        <w:pStyle w:val="3"/>
        <w:numPr>
          <w:ilvl w:val="0"/>
          <w:numId w:val="0"/>
        </w:numPr>
        <w:jc w:val="left"/>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附件4  商务条件</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79" w:beforeAutospacing="0" w:after="0" w:afterAutospacing="0"/>
        <w:ind w:right="0" w:firstLine="0" w:firstLineChars="0"/>
        <w:jc w:val="left"/>
        <w:textAlignment w:val="baseline"/>
        <w:rPr>
          <w:rFonts w:hint="eastAsia" w:ascii="仿宋_GB2312" w:hAnsi="仿宋_GB2312" w:eastAsia="仿宋_GB2312" w:cs="仿宋_GB2312"/>
          <w:snapToGrid/>
          <w:color w:val="000000"/>
          <w:spacing w:val="-2"/>
          <w:kern w:val="0"/>
          <w:sz w:val="24"/>
          <w:szCs w:val="24"/>
          <w:lang w:val="en-US" w:eastAsia="zh-CN" w:bidi="ar"/>
        </w:rPr>
      </w:pPr>
      <w:r>
        <w:rPr>
          <w:rFonts w:hint="eastAsia" w:ascii="仿宋_GB2312" w:hAnsi="仿宋_GB2312" w:eastAsia="仿宋_GB2312" w:cs="仿宋_GB2312"/>
          <w:snapToGrid/>
          <w:color w:val="000000"/>
          <w:spacing w:val="-2"/>
          <w:kern w:val="0"/>
          <w:sz w:val="24"/>
          <w:szCs w:val="24"/>
          <w:lang w:val="en-US" w:eastAsia="zh-CN" w:bidi="ar"/>
        </w:rPr>
        <w:t>4.1</w:t>
      </w:r>
      <w:r>
        <w:rPr>
          <w:rFonts w:hint="eastAsia" w:ascii="仿宋_GB2312" w:hAnsi="仿宋_GB2312" w:eastAsia="仿宋_GB2312" w:cs="仿宋_GB2312"/>
          <w:snapToGrid/>
          <w:color w:val="000000"/>
          <w:spacing w:val="-31"/>
          <w:kern w:val="0"/>
          <w:sz w:val="24"/>
          <w:szCs w:val="24"/>
          <w:lang w:val="en-US" w:eastAsia="zh-CN" w:bidi="ar"/>
        </w:rPr>
        <w:t xml:space="preserve"> </w:t>
      </w:r>
      <w:r>
        <w:rPr>
          <w:rFonts w:hint="eastAsia" w:ascii="仿宋_GB2312" w:hAnsi="仿宋_GB2312" w:eastAsia="仿宋_GB2312" w:cs="仿宋_GB2312"/>
          <w:snapToGrid/>
          <w:color w:val="000000"/>
          <w:spacing w:val="-2"/>
          <w:kern w:val="0"/>
          <w:sz w:val="24"/>
          <w:szCs w:val="24"/>
          <w:lang w:val="en-US" w:eastAsia="zh-CN" w:bidi="ar"/>
        </w:rPr>
        <w:t>服务期限：合同签订后一整个保险年度，自2023年9月25日零时起至2024年   9月24日二十四时止。</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86" w:beforeAutospacing="0" w:after="0" w:afterAutospacing="0"/>
        <w:ind w:right="0" w:firstLine="0" w:firstLineChars="0"/>
        <w:jc w:val="lef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napToGrid/>
          <w:color w:val="000000"/>
          <w:spacing w:val="-4"/>
          <w:kern w:val="0"/>
          <w:sz w:val="24"/>
          <w:szCs w:val="24"/>
          <w:lang w:val="en-US" w:eastAsia="zh-CN" w:bidi="ar"/>
        </w:rPr>
        <w:t>4.2</w:t>
      </w:r>
      <w:r>
        <w:rPr>
          <w:rFonts w:hint="eastAsia" w:ascii="仿宋_GB2312" w:hAnsi="仿宋_GB2312" w:eastAsia="仿宋_GB2312" w:cs="仿宋_GB2312"/>
          <w:snapToGrid/>
          <w:color w:val="000000"/>
          <w:spacing w:val="-32"/>
          <w:kern w:val="0"/>
          <w:sz w:val="24"/>
          <w:szCs w:val="24"/>
          <w:lang w:val="en-US" w:eastAsia="zh-CN" w:bidi="ar"/>
        </w:rPr>
        <w:t xml:space="preserve"> </w:t>
      </w:r>
      <w:r>
        <w:rPr>
          <w:rFonts w:hint="eastAsia" w:ascii="仿宋_GB2312" w:hAnsi="仿宋_GB2312" w:eastAsia="仿宋_GB2312" w:cs="仿宋_GB2312"/>
          <w:snapToGrid/>
          <w:color w:val="000000"/>
          <w:spacing w:val="-4"/>
          <w:kern w:val="0"/>
          <w:sz w:val="24"/>
          <w:szCs w:val="24"/>
          <w:lang w:val="en-US" w:eastAsia="zh-CN" w:bidi="ar"/>
        </w:rPr>
        <w:t>服务地点：采购人指定地点。</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84" w:beforeAutospacing="0" w:after="0" w:afterAutospacing="0"/>
        <w:ind w:right="0"/>
        <w:jc w:val="lef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napToGrid/>
          <w:color w:val="000000"/>
          <w:spacing w:val="-4"/>
          <w:kern w:val="0"/>
          <w:sz w:val="24"/>
          <w:szCs w:val="24"/>
          <w:lang w:val="en-US" w:eastAsia="zh-CN" w:bidi="ar"/>
        </w:rPr>
        <w:t>4.3</w:t>
      </w:r>
      <w:r>
        <w:rPr>
          <w:rFonts w:hint="eastAsia" w:ascii="仿宋_GB2312" w:hAnsi="仿宋_GB2312" w:eastAsia="仿宋_GB2312" w:cs="仿宋_GB2312"/>
          <w:snapToGrid/>
          <w:color w:val="000000"/>
          <w:spacing w:val="-43"/>
          <w:kern w:val="0"/>
          <w:sz w:val="24"/>
          <w:szCs w:val="24"/>
          <w:lang w:val="en-US" w:eastAsia="zh-CN" w:bidi="ar"/>
        </w:rPr>
        <w:t xml:space="preserve"> </w:t>
      </w:r>
      <w:r>
        <w:rPr>
          <w:rFonts w:hint="eastAsia" w:ascii="仿宋_GB2312" w:hAnsi="仿宋_GB2312" w:eastAsia="仿宋_GB2312" w:cs="仿宋_GB2312"/>
          <w:snapToGrid/>
          <w:color w:val="000000"/>
          <w:spacing w:val="-4"/>
          <w:kern w:val="0"/>
          <w:sz w:val="24"/>
          <w:szCs w:val="24"/>
          <w:lang w:val="en-US" w:eastAsia="zh-CN" w:bidi="ar"/>
        </w:rPr>
        <w:t>付款方式</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85" w:beforeAutospacing="0" w:after="0" w:afterAutospacing="0"/>
        <w:ind w:right="0" w:firstLine="460" w:firstLineChars="200"/>
        <w:jc w:val="lef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napToGrid/>
          <w:color w:val="000000"/>
          <w:spacing w:val="-5"/>
          <w:kern w:val="0"/>
          <w:sz w:val="24"/>
          <w:szCs w:val="24"/>
          <w:lang w:val="en-US" w:eastAsia="zh-CN" w:bidi="ar"/>
        </w:rPr>
        <w:t>自收到发票及投保单之日起</w:t>
      </w:r>
      <w:r>
        <w:rPr>
          <w:rFonts w:hint="eastAsia" w:ascii="仿宋_GB2312" w:hAnsi="仿宋_GB2312" w:eastAsia="仿宋_GB2312" w:cs="仿宋_GB2312"/>
          <w:snapToGrid/>
          <w:color w:val="000000"/>
          <w:spacing w:val="-39"/>
          <w:kern w:val="0"/>
          <w:sz w:val="24"/>
          <w:szCs w:val="24"/>
          <w:lang w:val="en-US" w:eastAsia="zh-CN" w:bidi="ar"/>
        </w:rPr>
        <w:t xml:space="preserve"> </w:t>
      </w:r>
      <w:r>
        <w:rPr>
          <w:rFonts w:hint="eastAsia" w:ascii="仿宋_GB2312" w:hAnsi="仿宋_GB2312" w:eastAsia="仿宋_GB2312" w:cs="仿宋_GB2312"/>
          <w:snapToGrid/>
          <w:color w:val="000000"/>
          <w:spacing w:val="-5"/>
          <w:kern w:val="0"/>
          <w:sz w:val="24"/>
          <w:szCs w:val="24"/>
          <w:lang w:val="en-US" w:eastAsia="zh-CN" w:bidi="ar"/>
        </w:rPr>
        <w:t>5</w:t>
      </w:r>
      <w:r>
        <w:rPr>
          <w:rFonts w:hint="eastAsia" w:ascii="仿宋_GB2312" w:hAnsi="仿宋_GB2312" w:eastAsia="仿宋_GB2312" w:cs="仿宋_GB2312"/>
          <w:snapToGrid/>
          <w:color w:val="000000"/>
          <w:spacing w:val="-43"/>
          <w:kern w:val="0"/>
          <w:sz w:val="24"/>
          <w:szCs w:val="24"/>
          <w:lang w:val="en-US" w:eastAsia="zh-CN" w:bidi="ar"/>
        </w:rPr>
        <w:t xml:space="preserve"> </w:t>
      </w:r>
      <w:r>
        <w:rPr>
          <w:rFonts w:hint="eastAsia" w:ascii="仿宋_GB2312" w:hAnsi="仿宋_GB2312" w:eastAsia="仿宋_GB2312" w:cs="仿宋_GB2312"/>
          <w:snapToGrid/>
          <w:color w:val="000000"/>
          <w:spacing w:val="-5"/>
          <w:kern w:val="0"/>
          <w:sz w:val="24"/>
          <w:szCs w:val="24"/>
          <w:lang w:val="en-US" w:eastAsia="zh-CN" w:bidi="ar"/>
        </w:rPr>
        <w:t>个工作日内一次性付清。</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84" w:beforeAutospacing="0" w:after="0" w:afterAutospacing="0"/>
        <w:ind w:right="0"/>
        <w:jc w:val="lef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napToGrid/>
          <w:color w:val="000000"/>
          <w:spacing w:val="-4"/>
          <w:kern w:val="0"/>
          <w:sz w:val="24"/>
          <w:szCs w:val="24"/>
          <w:lang w:val="en-US" w:eastAsia="zh-CN" w:bidi="ar"/>
        </w:rPr>
        <w:t>4.4服务保障</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86" w:beforeAutospacing="0" w:after="0" w:afterAutospacing="0"/>
        <w:ind w:right="0" w:firstLine="464" w:firstLineChars="200"/>
        <w:jc w:val="lef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napToGrid/>
          <w:color w:val="000000"/>
          <w:spacing w:val="-4"/>
          <w:kern w:val="0"/>
          <w:sz w:val="24"/>
          <w:szCs w:val="24"/>
          <w:lang w:val="en-US" w:eastAsia="zh-CN" w:bidi="ar"/>
        </w:rPr>
        <w:t>4.4.1</w:t>
      </w:r>
      <w:r>
        <w:rPr>
          <w:rFonts w:hint="eastAsia" w:ascii="仿宋_GB2312" w:hAnsi="仿宋_GB2312" w:eastAsia="仿宋_GB2312" w:cs="仿宋_GB2312"/>
          <w:snapToGrid/>
          <w:color w:val="000000"/>
          <w:spacing w:val="-34"/>
          <w:kern w:val="0"/>
          <w:sz w:val="24"/>
          <w:szCs w:val="24"/>
          <w:lang w:val="en-US" w:eastAsia="zh-CN" w:bidi="ar"/>
        </w:rPr>
        <w:t xml:space="preserve"> </w:t>
      </w:r>
      <w:r>
        <w:rPr>
          <w:rFonts w:hint="eastAsia" w:ascii="仿宋_GB2312" w:hAnsi="仿宋_GB2312" w:eastAsia="仿宋_GB2312" w:cs="仿宋_GB2312"/>
          <w:snapToGrid/>
          <w:color w:val="000000"/>
          <w:spacing w:val="-4"/>
          <w:kern w:val="0"/>
          <w:sz w:val="24"/>
          <w:szCs w:val="24"/>
          <w:lang w:val="en-US" w:eastAsia="zh-CN" w:bidi="ar"/>
        </w:rPr>
        <w:t>提供及时周到的售后服务。</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86" w:beforeAutospacing="0" w:after="0" w:afterAutospacing="0"/>
        <w:ind w:right="0" w:firstLine="436" w:firstLineChars="200"/>
        <w:jc w:val="lef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napToGrid/>
          <w:color w:val="000000"/>
          <w:spacing w:val="-11"/>
          <w:kern w:val="0"/>
          <w:sz w:val="24"/>
          <w:szCs w:val="24"/>
          <w:lang w:val="en-US" w:eastAsia="zh-CN" w:bidi="ar"/>
        </w:rPr>
        <w:t>4.4.2</w:t>
      </w:r>
      <w:r>
        <w:rPr>
          <w:rFonts w:hint="eastAsia" w:ascii="仿宋_GB2312" w:hAnsi="仿宋_GB2312" w:eastAsia="仿宋_GB2312" w:cs="仿宋_GB2312"/>
          <w:snapToGrid/>
          <w:color w:val="000000"/>
          <w:spacing w:val="15"/>
          <w:kern w:val="0"/>
          <w:sz w:val="24"/>
          <w:szCs w:val="24"/>
          <w:lang w:val="en-US" w:eastAsia="zh-CN" w:bidi="ar"/>
        </w:rPr>
        <w:t xml:space="preserve"> </w:t>
      </w:r>
      <w:r>
        <w:rPr>
          <w:rFonts w:hint="eastAsia" w:ascii="仿宋_GB2312" w:hAnsi="仿宋_GB2312" w:eastAsia="仿宋_GB2312" w:cs="仿宋_GB2312"/>
          <w:snapToGrid/>
          <w:color w:val="000000"/>
          <w:spacing w:val="-11"/>
          <w:kern w:val="0"/>
          <w:sz w:val="24"/>
          <w:szCs w:val="24"/>
          <w:lang w:val="en-US" w:eastAsia="zh-CN" w:bidi="ar"/>
        </w:rPr>
        <w:t>服务期内做到随时满足采购人提出的服务要求，半小时内响</w:t>
      </w:r>
      <w:r>
        <w:rPr>
          <w:rFonts w:hint="eastAsia" w:ascii="仿宋_GB2312" w:hAnsi="仿宋_GB2312" w:eastAsia="仿宋_GB2312" w:cs="仿宋_GB2312"/>
          <w:snapToGrid/>
          <w:color w:val="000000"/>
          <w:spacing w:val="-12"/>
          <w:kern w:val="0"/>
          <w:sz w:val="24"/>
          <w:szCs w:val="24"/>
          <w:lang w:val="en-US" w:eastAsia="zh-CN" w:bidi="ar"/>
        </w:rPr>
        <w:t>应，一小</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87" w:beforeAutospacing="0" w:after="0" w:afterAutospacing="0" w:line="468" w:lineRule="exact"/>
        <w:ind w:left="148" w:right="0" w:firstLine="0" w:firstLineChars="0"/>
        <w:jc w:val="lef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napToGrid/>
          <w:color w:val="000000"/>
          <w:spacing w:val="-2"/>
          <w:kern w:val="0"/>
          <w:position w:val="17"/>
          <w:sz w:val="24"/>
          <w:szCs w:val="24"/>
          <w:lang w:val="en-US" w:eastAsia="zh-CN" w:bidi="ar"/>
        </w:rPr>
        <w:t>时内到达现场。专职工作人员保持</w:t>
      </w:r>
      <w:r>
        <w:rPr>
          <w:rFonts w:hint="eastAsia" w:ascii="仿宋_GB2312" w:hAnsi="仿宋_GB2312" w:eastAsia="仿宋_GB2312" w:cs="仿宋_GB2312"/>
          <w:snapToGrid/>
          <w:color w:val="000000"/>
          <w:spacing w:val="-26"/>
          <w:kern w:val="0"/>
          <w:position w:val="17"/>
          <w:sz w:val="24"/>
          <w:szCs w:val="24"/>
          <w:lang w:val="en-US" w:eastAsia="zh-CN" w:bidi="ar"/>
        </w:rPr>
        <w:t xml:space="preserve"> </w:t>
      </w:r>
      <w:r>
        <w:rPr>
          <w:rFonts w:hint="eastAsia" w:ascii="仿宋_GB2312" w:hAnsi="仿宋_GB2312" w:eastAsia="仿宋_GB2312" w:cs="仿宋_GB2312"/>
          <w:snapToGrid/>
          <w:color w:val="000000"/>
          <w:spacing w:val="-2"/>
          <w:kern w:val="0"/>
          <w:position w:val="17"/>
          <w:sz w:val="24"/>
          <w:szCs w:val="24"/>
          <w:lang w:val="en-US" w:eastAsia="zh-CN" w:bidi="ar"/>
        </w:rPr>
        <w:t>24</w:t>
      </w:r>
      <w:r>
        <w:rPr>
          <w:rFonts w:hint="eastAsia" w:ascii="仿宋_GB2312" w:hAnsi="仿宋_GB2312" w:eastAsia="仿宋_GB2312" w:cs="仿宋_GB2312"/>
          <w:snapToGrid/>
          <w:color w:val="000000"/>
          <w:spacing w:val="-32"/>
          <w:kern w:val="0"/>
          <w:position w:val="17"/>
          <w:sz w:val="24"/>
          <w:szCs w:val="24"/>
          <w:lang w:val="en-US" w:eastAsia="zh-CN" w:bidi="ar"/>
        </w:rPr>
        <w:t xml:space="preserve"> </w:t>
      </w:r>
      <w:r>
        <w:rPr>
          <w:rFonts w:hint="eastAsia" w:ascii="仿宋_GB2312" w:hAnsi="仿宋_GB2312" w:eastAsia="仿宋_GB2312" w:cs="仿宋_GB2312"/>
          <w:snapToGrid/>
          <w:color w:val="000000"/>
          <w:spacing w:val="-2"/>
          <w:kern w:val="0"/>
          <w:position w:val="17"/>
          <w:sz w:val="24"/>
          <w:szCs w:val="24"/>
          <w:lang w:val="en-US" w:eastAsia="zh-CN" w:bidi="ar"/>
        </w:rPr>
        <w:t>小时通讯畅通，有专门的售后人员及时发</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1" w:beforeAutospacing="0" w:after="0" w:afterAutospacing="0"/>
        <w:ind w:left="130" w:right="0" w:firstLine="0" w:firstLineChars="0"/>
        <w:jc w:val="left"/>
        <w:textAlignment w:val="baseline"/>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napToGrid/>
          <w:color w:val="000000"/>
          <w:spacing w:val="-3"/>
          <w:kern w:val="0"/>
          <w:sz w:val="24"/>
          <w:szCs w:val="24"/>
          <w:lang w:val="en-US" w:eastAsia="zh-CN" w:bidi="ar"/>
        </w:rPr>
        <w:t>现问题，并采取行之有效的整改措施。</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sectPr>
      <w:footerReference r:id="rId3"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20941"/>
    <w:multiLevelType w:val="multilevel"/>
    <w:tmpl w:val="28020941"/>
    <w:lvl w:ilvl="0" w:tentative="0">
      <w:start w:val="1"/>
      <w:numFmt w:val="chineseCountingThousand"/>
      <w:suff w:val="nothing"/>
      <w:lvlText w:val="第%1部分"/>
      <w:lvlJc w:val="left"/>
      <w:pPr>
        <w:ind w:left="7372"/>
      </w:pPr>
      <w:rPr>
        <w:rFonts w:cs="Times New Roman"/>
      </w:rPr>
    </w:lvl>
    <w:lvl w:ilvl="1" w:tentative="0">
      <w:start w:val="1"/>
      <w:numFmt w:val="upperLetter"/>
      <w:pStyle w:val="3"/>
      <w:suff w:val="nothing"/>
      <w:lvlText w:val="%2"/>
      <w:lvlJc w:val="left"/>
      <w:pPr>
        <w:ind w:left="4516"/>
      </w:pPr>
      <w:rPr>
        <w:rFonts w:cs="Times New Roman"/>
      </w:rPr>
    </w:lvl>
    <w:lvl w:ilvl="2" w:tentative="0">
      <w:start w:val="1"/>
      <w:numFmt w:val="decimal"/>
      <w:lvlRestart w:val="0"/>
      <w:suff w:val="nothing"/>
      <w:lvlText w:val="%3"/>
      <w:lvlJc w:val="left"/>
      <w:pPr>
        <w:ind w:left="4516"/>
      </w:pPr>
      <w:rPr>
        <w:rFonts w:hint="eastAsia" w:ascii="宋体" w:eastAsia="宋体" w:cs="Times New Roman"/>
        <w:b/>
        <w:i w:val="0"/>
        <w:sz w:val="28"/>
      </w:rPr>
    </w:lvl>
    <w:lvl w:ilvl="3" w:tentative="0">
      <w:start w:val="1"/>
      <w:numFmt w:val="none"/>
      <w:suff w:val="nothing"/>
      <w:lvlText w:val=""/>
      <w:lvlJc w:val="left"/>
      <w:pPr>
        <w:ind w:left="4516"/>
      </w:pPr>
      <w:rPr>
        <w:rFonts w:hint="eastAsia" w:cs="Times New Roman"/>
      </w:rPr>
    </w:lvl>
    <w:lvl w:ilvl="4" w:tentative="0">
      <w:start w:val="1"/>
      <w:numFmt w:val="none"/>
      <w:suff w:val="nothing"/>
      <w:lvlText w:val=""/>
      <w:lvlJc w:val="left"/>
      <w:pPr>
        <w:ind w:left="4516"/>
      </w:pPr>
      <w:rPr>
        <w:rFonts w:hint="eastAsia" w:cs="Times New Roman"/>
      </w:rPr>
    </w:lvl>
    <w:lvl w:ilvl="5" w:tentative="0">
      <w:start w:val="1"/>
      <w:numFmt w:val="none"/>
      <w:suff w:val="nothing"/>
      <w:lvlText w:val=""/>
      <w:lvlJc w:val="left"/>
      <w:pPr>
        <w:ind w:left="4516"/>
      </w:pPr>
      <w:rPr>
        <w:rFonts w:hint="eastAsia" w:cs="Times New Roman"/>
      </w:rPr>
    </w:lvl>
    <w:lvl w:ilvl="6" w:tentative="0">
      <w:start w:val="1"/>
      <w:numFmt w:val="none"/>
      <w:suff w:val="nothing"/>
      <w:lvlText w:val=""/>
      <w:lvlJc w:val="left"/>
      <w:pPr>
        <w:ind w:left="4516"/>
      </w:pPr>
      <w:rPr>
        <w:rFonts w:hint="eastAsia" w:cs="Times New Roman"/>
      </w:rPr>
    </w:lvl>
    <w:lvl w:ilvl="7" w:tentative="0">
      <w:start w:val="1"/>
      <w:numFmt w:val="none"/>
      <w:suff w:val="nothing"/>
      <w:lvlText w:val=""/>
      <w:lvlJc w:val="left"/>
      <w:pPr>
        <w:ind w:left="4516"/>
      </w:pPr>
      <w:rPr>
        <w:rFonts w:hint="eastAsia" w:cs="Times New Roman"/>
      </w:rPr>
    </w:lvl>
    <w:lvl w:ilvl="8" w:tentative="0">
      <w:start w:val="1"/>
      <w:numFmt w:val="none"/>
      <w:suff w:val="nothing"/>
      <w:lvlText w:val=""/>
      <w:lvlJc w:val="left"/>
      <w:pPr>
        <w:ind w:left="4516"/>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Tg4ODIwN2RlOTlmZTUzMDFlNWMzMjhhMjFlNjcifQ=="/>
  </w:docVars>
  <w:rsids>
    <w:rsidRoot w:val="546C793E"/>
    <w:rsid w:val="546C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6" w:lineRule="auto"/>
      <w:outlineLvl w:val="0"/>
    </w:pPr>
    <w:rPr>
      <w:b/>
      <w:kern w:val="44"/>
      <w:sz w:val="44"/>
    </w:rPr>
  </w:style>
  <w:style w:type="paragraph" w:styleId="3">
    <w:name w:val="heading 2"/>
    <w:basedOn w:val="1"/>
    <w:next w:val="1"/>
    <w:qFormat/>
    <w:uiPriority w:val="99"/>
    <w:pPr>
      <w:keepNext/>
      <w:keepLines/>
      <w:numPr>
        <w:ilvl w:val="1"/>
        <w:numId w:val="1"/>
      </w:numPr>
      <w:spacing w:before="260" w:after="260" w:line="415" w:lineRule="auto"/>
      <w:jc w:val="center"/>
      <w:outlineLvl w:val="1"/>
    </w:pPr>
    <w:rPr>
      <w:rFonts w:ascii="CG Times" w:hAnsi="CG Times"/>
      <w:b/>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1914</Words>
  <Characters>2441</Characters>
  <Lines>0</Lines>
  <Paragraphs>0</Paragraphs>
  <TotalTime>0</TotalTime>
  <ScaleCrop>false</ScaleCrop>
  <LinksUpToDate>false</LinksUpToDate>
  <CharactersWithSpaces>2644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2023-08-17T07:36:00Z</dcterms:created>
  <dc:creator>一米阳光</dc:creator>
  <cp:lastModifiedBy>一米阳光</cp:lastModifiedBy>
  <dcterms:modified xsi:type="dcterms:W3CDTF">2023-08-17T07:36:27Z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05269F81BADB4C17A33BCCCF97B33530_11</vt:lpwstr>
  </property>
</Properties>
</file>